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伽师县住建局基础设施改造建设项目(NZXTC)</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伽师县住房和城乡建设局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王松理</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2025年01月08日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伽师县住建局基础设施改造建设项目(NZXTC)实施前期、过程及效果，评价财政预算资金使用的效率及效益。通过该项目的实施，建成后有效改善居民生活环境，同时提</w:t>
      </w:r>
      <w:r>
        <w:rPr>
          <w:rStyle w:val="19"/>
          <w:rFonts w:hint="eastAsia" w:ascii="仿宋" w:hAnsi="仿宋" w:eastAsia="仿宋" w:cs="仿宋"/>
          <w:b w:val="0"/>
          <w:bCs w:val="0"/>
          <w:spacing w:val="-4"/>
          <w:sz w:val="32"/>
          <w:szCs w:val="32"/>
          <w:lang w:eastAsia="zh-CN"/>
        </w:rPr>
        <w:t>升</w:t>
      </w:r>
      <w:r>
        <w:rPr>
          <w:rStyle w:val="19"/>
          <w:rFonts w:hint="eastAsia" w:ascii="仿宋" w:hAnsi="仿宋" w:eastAsia="仿宋" w:cs="仿宋"/>
          <w:b w:val="0"/>
          <w:bCs w:val="0"/>
          <w:spacing w:val="-4"/>
          <w:sz w:val="32"/>
          <w:szCs w:val="32"/>
        </w:rPr>
        <w:t>政府公信度。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本项目主要为化解项目欠款而设立。资金来源为本级财政，总投资398.6276万元。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社会企业。项目建设可有效带动地方建筑产业的建设发展，为当地建筑产业的多元化、产业化建设发展注入了新元素，提高了务工人员的收入。项目的实施对促进当地务工人员就业，增加务工人员收入作用突出，成为脱贫攻坚的重要抓手和平台。本项目实施主要目的是化解8个项目的工程款债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伽师县项目代建中心为全额事业单位，纳入2024年部门决算编制范围的有3个办公室：伽师县项目代建中心、财务室，行政办公室。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10人，其中：行政人员编制3人、工勤0人、参公2人、事业编制5人。实有在职人数10人，其中：行政在职3人、工勤0人、参公2人、事业在职5人。离退休人员0人，其中：行政退休人员0人、事业退休0人，项目实</w:t>
      </w:r>
      <w:r>
        <w:rPr>
          <w:rStyle w:val="19"/>
          <w:rFonts w:hint="eastAsia" w:ascii="仿宋" w:hAnsi="仿宋" w:eastAsia="仿宋" w:cs="仿宋"/>
          <w:b w:val="0"/>
          <w:bCs w:val="0"/>
          <w:spacing w:val="-4"/>
          <w:sz w:val="32"/>
          <w:szCs w:val="32"/>
          <w:lang w:eastAsia="zh-CN"/>
        </w:rPr>
        <w:t>工单位</w:t>
      </w:r>
      <w:r>
        <w:rPr>
          <w:rStyle w:val="19"/>
          <w:rFonts w:hint="eastAsia" w:ascii="仿宋" w:hAnsi="仿宋" w:eastAsia="仿宋" w:cs="仿宋"/>
          <w:b w:val="0"/>
          <w:bCs w:val="0"/>
          <w:spacing w:val="-4"/>
          <w:sz w:val="32"/>
          <w:szCs w:val="32"/>
        </w:rPr>
        <w:t>为新疆久泰恒祥建设工程有限公司，按照图纸、合同约定内容对伽师县住建局基础设施改造建设项目（NZXTC）进行实施。主要职责如下：（一）贯彻执行国家住房和城乡规划建设的法律法规和方针、政策；研究拟订住房保障、城乡规划、城市建设、村镇建设、建筑业、勘察设计业、测绘业的有关地方性文件和技术标准；（二）我县经济和社会建设发展规划编制相关工作，我县建设中长期规划、计划和相关政策并组织实施，综合分析行业经济运行情况，协调经济运行中的有关事宜。（三）贯彻执行国家有关工程建设法律法规，认真熟悉图纸、质量标准，严把工程质量关。负责落实施工现场的供水供电和地面建筑物与设施拆除及场地其它障碍物的拆除， 协商处理施工现场的各项工作。（四）组织、参与工程项目的放线、验线工作，落实施工图交底工作，对工程变更签证的办理。配合质安监督站的现场监督检查工作; 落实工程施工过程中的相关检测。负责监理合同的实施管理，督促总监及监理人员严格执行监理合同，履行监理职责。（五）负责施工合同的实施管理及工程现场的管理，发现不合格材料有权责令其停止使用，对不符合质量标准的分项工程令其返工并建议进行罚款。 参加主要分项、分部工程质量的验收，组织工程竣工验收。参与工程设备、材料进场验收工作，做好工程竣工结算资料的收集和完善工作。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本项目由本级财政实际使用资金398.6276万元，最终确定项目资金总数为398.6276万元。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截至2024年12月31日，实际支出398.6276万元，预算执行率100%。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住建局基础设施改造建设项目（NZXTC）基础配套设施的建设，将有效改善了小区居民的生活环境，提升居民幸福感。伽师县提出老旧小区改造项目，为实现伽师县老旧小区居民生活质量提升奠定良好的基础。本项目实施主要目的是化解8个项目的工程款债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实施的前期准备工作：通过伽师县住建局基础设施改造建设项目（NZXTC）实施方案，经项目负责人审核通过后，有序开展后续工作；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具体实施工作：申请、审批资金，资金到位后，立即偿还工程欠款。</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验收阶段的具体工作：归纳整理该项目所有文件。</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伽师县住建局基础设施改造建设项目(NZXTC)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4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eastAsia="zh-CN"/>
        </w:rPr>
        <w:t>指标</w:t>
      </w:r>
      <w:r>
        <w:rPr>
          <w:rStyle w:val="19"/>
          <w:rFonts w:hint="eastAsia" w:ascii="仿宋" w:hAnsi="仿宋" w:eastAsia="仿宋" w:cs="仿宋"/>
          <w:b w:val="0"/>
          <w:bCs w:val="0"/>
          <w:spacing w:val="-4"/>
          <w:sz w:val="32"/>
          <w:szCs w:val="32"/>
        </w:rPr>
        <w:t>下设项目效益2个二级指标。项目绩效评价体系详见附件1。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伽师县住建局基础设施改造建设项目(NZXTC)绩效评价指标体系及综合评分表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本次绩效评价方法的选用坚持简便有效的原则采用综合分析法。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本次评价成立了评价工作组，成员如下：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单位财务负责人冉义红任评价组组长，绩效评价工作职责为负责全盘工作。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王松理任评价组副组长，绩效评价工作职责为对项目实施情况进行实地调查。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孙建敏、王彩玲、王雅茜、陈畅、赵向阳任评价组成员，绩效评价工作职责为负责资料审核等工作。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住建局基础设施改造建设项目（NZXTC），贯彻落实了国家债务管理政策，有效规范了政府债务管理，提升了政府公信力。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项目决策：该项目实施符合立项要求，项目立项依据充分，立项程序规范。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本项目预算安排398.6276万元，实际支出398.6276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项目产出：化解了8个项目的工程款债务。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项目效益：通过实施此项目，贯彻落实了国家债务管理政策，有效规范了政府债务管理，提升了政府公信力。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伽师县住建局基础设施改造建设项目（NZXTC）已化解8个项目的工程款债务，有效规范了政府债务管理，提升了政府公信力。该项目最终评分结果：评价总分100分，绩效等级为“优”。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项目绩效评价评分情况表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住房和城乡建设局《关于申请伽师县住建局基础设施改造建设项目的运行资金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住房和城乡建设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398.62万元。用于支付喀什地区伽师县2022年老旧小区改造工程奖励项目133.3776万元，喀什地区经开区城北转化加工区伽师县公租房及配套基础设施建设项目100万元，伽师县2022年团结路片区供水管网改造项目165.25万元，通过实施本项目可贯彻落实国家债务管理政策，有效规范政府债务管理，可控制政府债务风险，不断提升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止2024年12月31日，项目预算安排资金398.62万元，资金到位398.62万元，已支付398.62万元，资金执行率100%，用于新支付喀什地区伽师县2022年老旧小区改造工程奖励项目133.3776万元，喀什地区经开区城北转化加工区伽师县公租房及配套基础设施建设项目100万元，伽师县2022年团结路片区供水管网改造项目165.25万元，通过实施本项目可贯彻落实国家债务管理政策，有效规范政府债务管理，可控制政府债务风险，不断提升政府公信力。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用于支付喀什地区伽师县2022年老旧小区改造工程奖励项目133.3776万元，喀什地区经开区城北转化加工区伽师县公租房及配套基础设施建设项目100万元，伽师县2022年团结路片区供水管网改造项目165.25万元，通过实施本项目可贯彻落实国家债务管理政策，有效规范政府债务管理，可控制政府债务风险，不断提升政府公信力，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④该项目批复的预算金额为398.62万元，《项目支出绩效目标表》中预算金额为398.62万元，预算确定的项目资金与预算确定的项目投资额相匹配。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4个，二级指标6个，三级指标9个，定量指标7个，定性指标2个，指标量化率为77.8%，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清偿以前年度未付款项目数8个，三级指标的年度指标值与年度绩效目标中任务数一致，已设置时效指标“资金支付完成时间2024年12月25日、项目按计划完成率100%”。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（5）预算编制科学性：本伽师县住建局基础设施改造建设项目，预算编制较科学且经过论证；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预算申请内容为用于清偿以前年度未付款项目数3个，项目实际内容为清偿以前年度未付款项目数3个，预算申请与《伽师县住建局基础设施改造建设项目实施方案》中涉及的项目内容匹配；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398.62万元，我单位在预算申请中严格按照项目实施内容及测算标准进行核算，其中：喀什地区伽师县2022年老旧小区改造工程奖励项目133.38万元、喀什地区经开区城北转化加工区伽师县公租房及配套基础设施建设项目100万元、伽师县2022年团结路片区供水管网改造项目165.25万元。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住建局基础设施改造建设项目运行资金的报告》和《伽师县住建局基础设施改造建设项目实施方案》为依据进行资金分配，预算资金分配依据充分。根据伽财预〔2024〕001号文件，本项目实际到位资金398.62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398.62万元，其中：财政安排资金398.62万元，其他资金0万元，实际到位资金398.62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（2）预算执行率：本项目实际支出资金398.62万元，预算执行率=（398.62/398.62）×100.0%=100%；通过分析可知，该项目预算编制较为详细，项目资金支出总体能够按照预算执行，根据评分标准，该指标不扣分，得3分。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住房和城乡建设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住房和城乡建设局资金管理办法》《伽师县住房和城乡建设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住房和城乡建设局单位管理办法》《伽师县住房和城乡建设局项目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③该项目实施过程中存在调整事项，调整手续齐全。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住建局基础设施改造建设项目工作领导小组，由冉义红任组长，负责项目的组织工作；王松理任副组长，负责对项目实施情况进行实地调查；组员包括：孙建敏、王彩玲、王雅茜、陈畅、赵向阳，主要负责项目监督管理、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清偿以前年度未付款项目数指标，预期指标值为3个，实际完成值为3个，指标完成率为100%，与预期目标一致，根据评分标准，该指标不扣分，得10分。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项目按计划完成率指标，预期指标值为100%，实际完成值为100%，指标完成率为100%，与预期目标一致，根据评分标准，该指标不扣分，得5分。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资金支付完成时间指标，预期指标值为2024年12月25日之前，实际完成值为2024年12月25日，指标完成率为100%，与预期目标一致，根据评分标准，该指标不扣分，得5分。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支付喀什地区伽师县2022年老旧小区改造工程奖励项目工程款指标，预期指标值为小于等于133.38万元，实际完成值为133.38万元，指标完成率为100%，与预期目标一致，根据评分标准，该指标不扣分，得5分。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付喀什地区经开区城北转化加工区伽师县公租房及配套基础设施建设项目工程款指标，预期指标值为小于等于100万元，实际完成值为100万元，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伽师县2022年团结路片区供水管网改造项目(NZXTC)指标，预期指标值为165.25万元，实际完成值为165.25万元，指标完成率为100%，与预期目标一致，根据评分标准，该指标不扣分，得5分。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改善受益群众生活条件指标，预期指标值为有效改善，实际完成值为有效改善，指标完成率为100%，与预期目标一致，根据评分标准，该指标不扣分，得10分。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对于“满意度指标：受益群众满意度，预期指标值大于等于95%，实际完成值为100%，指标完成率为105%，根据评分标准，该指标不扣分，得10分。偏差原因：项目实施后，产生效益较好， 满意度较高。</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伽师县住建局基础设施改造建设项目(NZXTC)预算资金398.6276万元，到位资金398.6276万元，实际支出资金398.6276万元，预算执行率为100%，项目绩效指标总体完成率为100.6%，无偏差。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二是加强组织领导，本项目绩效评价工作，</w:t>
      </w:r>
      <w:r>
        <w:rPr>
          <w:rStyle w:val="19"/>
          <w:rFonts w:hint="eastAsia" w:ascii="仿宋" w:hAnsi="仿宋" w:eastAsia="仿宋" w:cs="仿宋"/>
          <w:b w:val="0"/>
          <w:bCs w:val="0"/>
          <w:spacing w:val="-4"/>
          <w:sz w:val="32"/>
          <w:szCs w:val="32"/>
          <w:lang w:eastAsia="zh-CN"/>
        </w:rPr>
        <w:t>由</w:t>
      </w:r>
      <w:r>
        <w:rPr>
          <w:rStyle w:val="19"/>
          <w:rFonts w:hint="eastAsia" w:ascii="仿宋" w:hAnsi="仿宋" w:eastAsia="仿宋" w:cs="仿宋"/>
          <w:b w:val="0"/>
          <w:bCs w:val="0"/>
          <w:spacing w:val="-4"/>
          <w:sz w:val="32"/>
          <w:szCs w:val="32"/>
        </w:rPr>
        <w:t>县政府主要领导亲自挂帅，分管县领导具体负责，从项目到资金，均能</w:t>
      </w:r>
      <w:r>
        <w:rPr>
          <w:rStyle w:val="19"/>
          <w:rFonts w:hint="eastAsia" w:ascii="仿宋" w:hAnsi="仿宋" w:eastAsia="仿宋" w:cs="仿宋"/>
          <w:b w:val="0"/>
          <w:bCs w:val="0"/>
          <w:spacing w:val="-4"/>
          <w:sz w:val="32"/>
          <w:szCs w:val="32"/>
          <w:lang w:eastAsia="zh-CN"/>
        </w:rPr>
        <w:t>够</w:t>
      </w:r>
      <w:r>
        <w:rPr>
          <w:rStyle w:val="19"/>
          <w:rFonts w:hint="eastAsia" w:ascii="仿宋" w:hAnsi="仿宋" w:eastAsia="仿宋" w:cs="仿宋"/>
          <w:b w:val="0"/>
          <w:bCs w:val="0"/>
          <w:spacing w:val="-4"/>
          <w:sz w:val="32"/>
          <w:szCs w:val="32"/>
        </w:rPr>
        <w:t>很好</w:t>
      </w:r>
      <w:r>
        <w:rPr>
          <w:rStyle w:val="19"/>
          <w:rFonts w:hint="eastAsia" w:ascii="仿宋" w:hAnsi="仿宋" w:eastAsia="仿宋" w:cs="仿宋"/>
          <w:b w:val="0"/>
          <w:bCs w:val="0"/>
          <w:spacing w:val="-4"/>
          <w:sz w:val="32"/>
          <w:szCs w:val="32"/>
          <w:lang w:eastAsia="zh-CN"/>
        </w:rPr>
        <w:t>地</w:t>
      </w:r>
      <w:r>
        <w:rPr>
          <w:rStyle w:val="19"/>
          <w:rFonts w:hint="eastAsia" w:ascii="仿宋" w:hAnsi="仿宋" w:eastAsia="仿宋" w:cs="仿宋"/>
          <w:b w:val="0"/>
          <w:bCs w:val="0"/>
          <w:spacing w:val="-4"/>
          <w:sz w:val="32"/>
          <w:szCs w:val="32"/>
        </w:rPr>
        <w:t>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三是资金支付及时。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bookmarkStart w:id="0" w:name="_GoBack"/>
      <w:bookmarkEnd w:id="0"/>
      <w:r>
        <w:rPr>
          <w:rStyle w:val="19"/>
          <w:rFonts w:hint="eastAsia" w:ascii="仿宋" w:hAnsi="仿宋" w:eastAsia="仿宋" w:cs="仿宋"/>
          <w:b w:val="0"/>
          <w:bCs w:val="0"/>
          <w:spacing w:val="-4"/>
          <w:sz w:val="32"/>
          <w:szCs w:val="32"/>
        </w:rPr>
        <w:t>。</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606754D7"/>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28b957-68b9-445c-8ee2-40c798f3728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2025-10-21T11:25:00Z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