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喀什地区伽师县2024年城区供热管网改造及设施建设项目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伽师县住房和城乡建设局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王松理</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2025年01月09日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老旧小区实施前期、过程及效果，评价财政预算资金使用的效率及效益。通过该项目的实施，建成后有效改善居民供热条件，同时提</w:t>
      </w:r>
      <w:r>
        <w:rPr>
          <w:rStyle w:val="19"/>
          <w:rFonts w:hint="eastAsia" w:ascii="仿宋" w:hAnsi="仿宋" w:eastAsia="仿宋" w:cs="仿宋"/>
          <w:b w:val="0"/>
          <w:bCs w:val="0"/>
          <w:spacing w:val="-4"/>
          <w:sz w:val="32"/>
          <w:szCs w:val="32"/>
          <w:lang w:eastAsia="zh-CN"/>
        </w:rPr>
        <w:t>升</w:t>
      </w:r>
      <w:r>
        <w:rPr>
          <w:rStyle w:val="19"/>
          <w:rFonts w:hint="eastAsia" w:ascii="仿宋" w:hAnsi="仿宋" w:eastAsia="仿宋" w:cs="仿宋"/>
          <w:b w:val="0"/>
          <w:bCs w:val="0"/>
          <w:spacing w:val="-4"/>
          <w:sz w:val="32"/>
          <w:szCs w:val="32"/>
        </w:rPr>
        <w:t>政府公信度。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伽师县2024年城区供热管网改造及设施建设项目依据喀什地区发展和改革委员会下发喀发改投资〔2023〕574号，下达《关于喀什地区伽师县2024年城区供热管网改造及设施建设项目可行性研究报告（代项目建议书）的批复》视为立项。资金来源为上级专项资金1800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当地城镇供热的建设发展。在政府投资和社会投资的带动和引导下，在伽师县及周围，使城镇供热管网改造逐渐成为伽师县主要基础设施保障。项目建设可有效带动地方建筑产业的建设发展，为当地建筑产业的多元化、产业化建设发展注入了新元素，提高了务工人员的收入。项目的实施对促进当地务工人员就业，增加务工人员收入作用突出，成为脱贫攻坚的重要抓手和平台。城镇供热管网改造。喀什地区伽师县2024年城区供热管网改造及设施建设项目，项目已支付资金1305.41万元，用于改造供热管网9.16公里及相关配套附属设施建设。通过实施本项目可有效保障居民用热条件，提高政府公信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伽师县项目代建中心为全额事业单位，纳入2021年部门决算编制范围的有3个办公室：伽师县项目代建中心、财务室，行政办公室。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10人，其中：行政人员编制3人、工勤0人、参公2人、事业编制5人。实有在职人数10人，其中：行政在职3人、工勤0人、参公2人、事业在职5人。离退休人员0人，其中：行政退休人员0人、事业退休0人，项目实施为南通四建集团有限公司，按照图纸、合同约定内容对喀什地区伽师县2024年城区供热管网改造及设施建设项目进行实施。主要职责如下：（一）贯彻执行国家住房和城乡规划建设的法律法规和方针、政策；研究拟订住房保障、城乡规划、城市建设、村镇建设、建筑业、勘察设计业、测绘业的有关地方性文件和技术标准；（二）我县经济和社会建设发展规划编制相关工作，我县建设中长期规划、计划和相关政策并组织实施，综合分析行业经济运行情况，协调经济运行中的有关事宜。（三）贯彻执行国家有关工程建设法律法规，认真熟悉图纸、质量标准，严把工程质量关。负责落实施工现场的供水供电和地面建筑物与设施拆除及场地其它障碍物的拆除， 协商处理施工现场的各项工作。（四）组织、参与工程项目的放线、验线工作，落实施工图交底工作，对工程变更签证的办理。配合质安监督站的现场监督检查工作; 落实工程施工过程中的相关检测。负责监理合同的实施管理，督促总监及监理人员严格执行监理合同，履行监理职责。（五）负责施工合同的实施管理及工程现场的管理，发现不合格材料有权责令其停止使用，对不符合质量标准的分项工程令其返工并建议进行罚款。 参加主要分项、分部工程质量的验收，组织工程竣工验收。参与工程设备、材料进场验收工作，做好工程竣工结算资料的收集和完善工作。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本项目2023年12月21日经伽师县发展和改革委员会伽发改投资【2023】574号及伽财建[2024]8号-喀地财建[2024]21号立项批准，中央预算内共安排下达资金1800万元，最终确定项目资金总数为1800万元。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截至2024年12月31日，实际支出1305.41万元，预算执行率72.5%。</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伽师县2024年城区供热管网改造及设施建设项目的建设，将有效改善用热居民的生活环境，提升居民幸福感。伽师县提出喀什地区伽师县2024年城区供热管网改造及设施建设项目，为实现伽师县部分老旧小区居民用热质量提升奠定良好的基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实施的前期准备工作：通过喀什地区伽师县2024年城区供热管网改造及设施建设项目实施方案，经项目负责人审核通过后，有序开展后续工作，并根据工程特点，细化项目建设内容，认真执行有关管理制度。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具体实施工作：进行招投标，签订合同，组织开工，安排监理监管实施。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验收阶段的具体工作：组织相关人员验收，对存在的问题及时整改并再次验收合格为止。</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喀什地区伽师县2024年城区供热管网改造及设施建设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4个二级指标；过程下设资金管理和组织实施2个二级指标。个性指标下设产出和效益2个一级指标，其中产出下设产出数量、产出质量、产出时效、产出成本4个2级指标，效益</w:t>
      </w:r>
      <w:r>
        <w:rPr>
          <w:rStyle w:val="19"/>
          <w:rFonts w:hint="eastAsia" w:ascii="仿宋" w:hAnsi="仿宋" w:eastAsia="仿宋" w:cs="仿宋"/>
          <w:b w:val="0"/>
          <w:bCs w:val="0"/>
          <w:spacing w:val="-4"/>
          <w:sz w:val="32"/>
          <w:szCs w:val="32"/>
          <w:lang w:eastAsia="zh-CN"/>
        </w:rPr>
        <w:t>指标</w:t>
      </w:r>
      <w:r>
        <w:rPr>
          <w:rStyle w:val="19"/>
          <w:rFonts w:hint="eastAsia" w:ascii="仿宋" w:hAnsi="仿宋" w:eastAsia="仿宋" w:cs="仿宋"/>
          <w:b w:val="0"/>
          <w:bCs w:val="0"/>
          <w:spacing w:val="-4"/>
          <w:sz w:val="32"/>
          <w:szCs w:val="32"/>
        </w:rPr>
        <w:t>下设项目效益2个二级指标。项目绩效评价体系详见附件1。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喀什地区伽师县2024年城区供热管网改造及设施建设项目绩效评价指标体系及综合评分表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2.175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5.71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5.71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84.225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本次评价成立了评价工作组，成员如下：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单位财务负责人冉义红任评价组组长，绩效评价工作职责为负责全盘工作。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王松理任评价组副组长，绩效评价工作职责为对项目实施情况进行实地调查。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孙建敏、王彩玲、王雅茜、陈畅、赵向阳任评价组成员，绩效评价工作职责为负责资料审核等工作。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通过实施喀什地区伽师县2024年城区供热管网改造及设施建设项目，有效改善了居民用热条件，提高了政府公信度。项目实施主要通过项目决策、项目过程、项目产出以及项目效益等方面进行评价，其中：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项目决策：该项目主要通过伽发改投资【2023】574号及伽财建[2024]8号-喀地财建[2024]21号文件立项，项目实施符合立项要求，项目立项依据充分，立项程序规范。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本项目预算安排1800万元，实际支出1305.41万元，预算执行率72.5%。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项目产出：用于改造供热管网16.03公里及相关配套附属设施建设，目前已完成9.16公里及相关配套附属设施的建设。</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项目效益：通过实施此项目，有效改善了居民用热条件，提高了政府公信度。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伽师县2023年老旧小区改造建设项目已完成完成伽师县9个老旧小区250户12栋楼1.8164万平方米改造。推动了基础设施建设效益。该项目最终评分伽师县84.225分，绩效评级为“良”。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95.87%  19.175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76.31%  34.34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57.1%  5.71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84.225%  84.225</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伽师县住房和城乡建设局《关于申请喀什地区伽师县2024年城区供热管网改造及设施建设项目的运行资金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结合伽师县住房和城乡建设局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（2）立项程序规范性：根据决策依据编制工作计划和经费预算，经过与单位分管领导进行沟通、筛选确定经费预算计划，上党委会研究确定最终预算方案，根据评分标准，该指标不扣分，得2分。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该项目资金来源本级资金，资金总额为1800万元。用于改造供热管网15.88公里及相关配套附属设施建设。其中 DN100 管道 4.2 公里、DN200 管道 3.2 公里、DN250 管道 6.68 公里、DN300 管道 0.4 公里、DN350管道 1.4 公里，通过实施本项目可有效改善居民用热条件，提高政府公信度。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伽师县2024年城区供热管网改造及设施建设项目，项目已支付资金1305.41万元，用于改造供热管网9.16公里及相关配套附属设施建设。通过实施本项目可有效保障居民用热条件，提高政府公信度。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喀什地区伽师县2024年城区供热管网改造及设施建设项目，项目已支付资金1305.41万元，用于改造供热管网9.16公里及相关配套附属设施建设。通过实施本项目可有效保障居民用热条件，提高政府公信度。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④该项目批复的预算金额为1800万元，《项目支出绩效目标表》中预算金额为1800万元，预算确定的项目资金与预算确定的项目投资额相匹配。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改造供热管网长度16.03公里，三级指标的年度指标值与年度绩效目标中任务数一致，已设置时效指标“资金发放完成时间2024年12月25日、项目申报开工及时率100%”。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（5）预算编制科学性：本伽师县2024年城区供热管网改造及设施建设项目，预算编制较科学且经过论证；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预算申请内容为用于改造供热管网长度16.03公里，项目实际内容为改造供热管网长度16.03公里，预算申请与《伽师县2024年城区供热管网改造及设施建设项目实施方案》中涉及的项目内容匹配；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1800万元，我单位在预算申请中严格按照项目实施内容及测算标准进行核算，其中：改造供热管网113.35012万元/公里。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喀什地区伽师县2024年城区供热管网改造及设施建设项目运行资金的报告》和《伽师县2024年城区供热管网改造及设施建设项目实施方案》为依据进行资金分配，预算资金分配依据充分。根据伽财预〔2024〕001号文件，本项目实际到位资金1800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5个三级指标构成，权重分为20分，实际得分19.175分，得分率为95.87%。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1800万元，其中：财政安排资金1800万元，其他资金0万元，实际到位资金1800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1305.41万元，预算执行率=（1305.41/1800）×100.0%=72.5%；通过分析可知，该项目预算编制较为详细，项目资金支出总体能够按照预算执行，根据评分标准，该指标得2.175分。偏差原因：11月因为城市供暖导致项目暂停施工，目前还有部分未施工，资金未完全支付；改进措施：尽快安排重新施工，验收后付清剩余资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伽师县住房和城乡建设局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住房和城乡建设局资金管理办法》《伽师县住房和城乡建设局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住房和城乡建设局单位管理办法》《伽师县住房和城乡建设局项目管理制度》《政府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2024年城区供热管网改造及设施建设项目工作领导小组，由冉义红任组长，负责项目的组织工作；王松理任副组长，负责对项目实施情况进行实地调查；组员包括：孙建敏、王彩玲、王雅茜、陈畅、赵向阳，主要负责项目监督管理、资料审核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项目产出类指标包括产出数量、产出质量、产出时效、产出成本四方面的内容，由4个三级指标构成，权重分为45分，实际得分34.34分，得分率为76.31%。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造供热管网长度指标，预期指标值为大于等于16.03公里，实际完成值为9.16公里，指标完成率为57.14%，偏差原因：11月因为城市供暖导致项目暂停施工，目前还有部分未施工，资金未完全支付；改进措施：尽快安排重新施工，验收后付清剩余资金。该指标得5.71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合计得5.71分。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检验合格率指标，预期指标值为100%，实际完成值为0%，指标完成率为0%，根据评分标准，该指标不得分，偏差原因：11月因为城市供暖导致项目暂停施工，目前还有部分未施工，资金未完全支付；改进措施：尽快安排重新施工，验收后付清剩余资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发放完成时间指标，预期指标值为2024年12月25日之前，实际完成值为2024年12月25日，指标完成率为72.5%，偏差原因：11月因为城市供暖导致项目暂停施工，目前还有部分未施工，资金未完全支付；改进措施：尽快安排重新施工，验收后付清剩余资金。该指标得3.63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项目申报开工及时率指标，预期指标值为100%，实际完成值为100%，指标完成率为100%，与预期目标一致，根据评分标准，该指标不扣分，得5分。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合计得8.63分。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造供热管网指标，预期指标值为小于等于113.350126万元/公里，实际完成值为142.51万元/公里，指标完成率为125%，根据评分标准，该指标不扣分，得15分。偏差原因：截止12月底供热管网改造完毕9.16公里，剩余部分因天气原因暂停，所以单位公里造价较高；改进措施：尽快安排重新施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项目效益类指标包括项目效益1个方面的内容，由1个三级指标构成，权重分为10分，实际得分5.71分，得分率为57.1%。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居民用热条件指标，预期指标值为有效保障，实际完成值为部分实现目标，指标完成率为72.5%，偏差原因：11月因为城市供暖导致项目暂停施工，目前还有部分未施工，资金未完全支付；改进措施：尽快安排重新施工，验收后付清剩余资金。该指标得5.71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实施效益指标合计得5.71分。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对于“满意度指标：受益群众满意度指标，预期指标值为100%，实际完成值为100%，指标完成率为100%，根据评分标准，该指标不扣分，得10分。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喀什地区伽师县2024年城区供热管网改造及设施建设项目预算伽师县1800万元，到位伽师县1800万元，实际支出伽师县1305.41万元，预算执行率为72.5%，项目绩效指标总体完成率为78.4%，偏差率为5.9%，偏差原因：11月因为城市供暖导致项目暂停施工，目前还有部分未施工，资金未完全支付；改进措施：尽快安排重新施工，验收后付清剩余资金。</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一是本项目能够严格按照《项目实施方案》执行，项目执行情况较好。二是加强组织领导，本项目绩效评价工作，</w:t>
      </w:r>
      <w:r>
        <w:rPr>
          <w:rStyle w:val="19"/>
          <w:rFonts w:hint="eastAsia" w:ascii="仿宋" w:hAnsi="仿宋" w:eastAsia="仿宋" w:cs="仿宋"/>
          <w:b w:val="0"/>
          <w:bCs w:val="0"/>
          <w:spacing w:val="-4"/>
          <w:sz w:val="32"/>
          <w:szCs w:val="32"/>
          <w:lang w:eastAsia="zh-CN"/>
        </w:rPr>
        <w:t>由</w:t>
      </w:r>
      <w:r>
        <w:rPr>
          <w:rStyle w:val="19"/>
          <w:rFonts w:hint="eastAsia" w:ascii="仿宋" w:hAnsi="仿宋" w:eastAsia="仿宋" w:cs="仿宋"/>
          <w:b w:val="0"/>
          <w:bCs w:val="0"/>
          <w:spacing w:val="-4"/>
          <w:sz w:val="32"/>
          <w:szCs w:val="32"/>
        </w:rPr>
        <w:t>县政府主要领导亲自挂帅，分管县领导具体负责，从项目到资金，均能</w:t>
      </w:r>
      <w:r>
        <w:rPr>
          <w:rStyle w:val="19"/>
          <w:rFonts w:hint="eastAsia" w:ascii="仿宋" w:hAnsi="仿宋" w:eastAsia="仿宋" w:cs="仿宋"/>
          <w:b w:val="0"/>
          <w:bCs w:val="0"/>
          <w:spacing w:val="-4"/>
          <w:sz w:val="32"/>
          <w:szCs w:val="32"/>
          <w:lang w:eastAsia="zh-CN"/>
        </w:rPr>
        <w:t>够</w:t>
      </w:r>
      <w:r>
        <w:rPr>
          <w:rStyle w:val="19"/>
          <w:rFonts w:hint="eastAsia" w:ascii="仿宋" w:hAnsi="仿宋" w:eastAsia="仿宋" w:cs="仿宋"/>
          <w:b w:val="0"/>
          <w:bCs w:val="0"/>
          <w:spacing w:val="-4"/>
          <w:sz w:val="32"/>
          <w:szCs w:val="32"/>
        </w:rPr>
        <w:t>很好</w:t>
      </w:r>
      <w:r>
        <w:rPr>
          <w:rStyle w:val="19"/>
          <w:rFonts w:hint="eastAsia" w:ascii="仿宋" w:hAnsi="仿宋" w:eastAsia="仿宋" w:cs="仿宋"/>
          <w:b w:val="0"/>
          <w:bCs w:val="0"/>
          <w:spacing w:val="-4"/>
          <w:sz w:val="32"/>
          <w:szCs w:val="32"/>
          <w:lang w:eastAsia="zh-CN"/>
        </w:rPr>
        <w:t>地</w:t>
      </w:r>
      <w:r>
        <w:rPr>
          <w:rStyle w:val="19"/>
          <w:rFonts w:hint="eastAsia" w:ascii="仿宋" w:hAnsi="仿宋" w:eastAsia="仿宋" w:cs="仿宋"/>
          <w:b w:val="0"/>
          <w:bCs w:val="0"/>
          <w:spacing w:val="-4"/>
          <w:sz w:val="32"/>
          <w:szCs w:val="32"/>
        </w:rPr>
        <w:t>执行。三是加强沟通协调，我单位及时向县领导汇报项目建设进度，加强与施工单位的沟通，确保项目按期完工。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w:t>
      </w:r>
      <w:bookmarkStart w:id="0" w:name="_GoBack"/>
      <w:bookmarkEnd w:id="0"/>
      <w:r>
        <w:rPr>
          <w:rStyle w:val="19"/>
          <w:rFonts w:hint="eastAsia" w:ascii="仿宋" w:hAnsi="仿宋" w:eastAsia="仿宋" w:cs="仿宋"/>
          <w:b w:val="0"/>
          <w:bCs w:val="0"/>
          <w:spacing w:val="-4"/>
          <w:sz w:val="32"/>
          <w:szCs w:val="32"/>
        </w:rPr>
        <w:t>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516E2B22"/>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f31c69-17e6-453e-a6f4-f6401545ade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3</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2025-10-21T11:37:32Z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