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喀什地区伽师县2024年琼巴格路供水管网及附属设施工程建设项目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伽师县住房和城乡建设局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高积祥</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2025年01月13日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本项目实施后，将改善当地规划区域范围内的居民生活用水状况，促进城镇发展建设，改变民风、民俗与城镇文明建设不相适应的局面。同时亦将为伽师县投资环境改善和社会的稳定起到积极作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新建供水管网 12公里、购置室外消火栓120个及相关配套系统设施设备等建设。其中 DN160PE 供水管道4公里:DN110PE 供水管道8公里。项目的实施对水质目标达到国家标准《生活饮用水卫生标准》(GB5749-2022)。2、水压目标满足城区生活饮用水管网末端水压不小于 28 米的压力。消防系统采用低压消防系统，最大用水时加消防校核，最不利点水压不小于 0.1MPa。</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伽师县康源供排水有限责任公司有5个室：行政办公室、抢修队、水费组、供水保障组，卡表维护组。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根据伽财建〔2024]9号共安排下达资金1800万元，为上级专项资金，最终确定项目资金总数为1800万元。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截至2024年12月31日，实际支出988.17万元，预算执行率54.9%。</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新建供水管网 12 公里、购置室外消火栓 120个，及相关配套系统设施设备等建设。其中 DN160PE 供水管道4公里，DN110PE 供水管道8公里。项目建设可有效改善居民用水条件，提高政府公信度。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实施的前期准备工作：明确项目的目标、范围、预期成果和关键成功因素。进行可行性研究，包括技术可行性、经济可行性和运营可行性，以确定项目的可行性和潜在风险。</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具体实施工作：制定质量计划，明确质量标准和质量要求。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项目执行过程中进行质量检查和控制，确保项目成果符合预期标准。建立有效的沟通机制，确保团队成员之间的信息流通。协调各方关系，解决项目执行过程中的问题和冲突。定期检查项目进度，确保项目按计划进行。对进度偏差进行分析和处理，及时调整项目计划。跟踪项目成本，确保成本控制在预算范围内。对成本偏差进行分析和处理，采取相应的成本控制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确保项目的所有任务都已完成并通过质量检查。组织专家对项目进行验收评审，确保项目符合相关标准和要求。对项目的整体表现进行评估，总结经验教训。为后续项目提供借鉴和参考。确保所有的合同义务都已履行。整理并保存项目的所有重要文档，为项目管理和历史研究提供依据。</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喀什地区伽师县2024年琼巴格路供水管网及附属设施工程建设项目支出为对象所对应的预算资金，以项目实施所带来的产出和效果为主要内容，以促进预算单位完成特定工作任务</w:t>
      </w:r>
      <w:r>
        <w:rPr>
          <w:rStyle w:val="19"/>
          <w:rFonts w:hint="eastAsia" w:ascii="仿宋" w:hAnsi="仿宋" w:eastAsia="仿宋" w:cs="仿宋"/>
          <w:b w:val="0"/>
          <w:bCs w:val="0"/>
          <w:spacing w:val="-4"/>
          <w:sz w:val="32"/>
          <w:szCs w:val="32"/>
          <w:lang w:eastAsia="zh-CN"/>
        </w:rPr>
        <w:t>为</w:t>
      </w:r>
      <w:r>
        <w:rPr>
          <w:rStyle w:val="19"/>
          <w:rFonts w:hint="eastAsia" w:ascii="仿宋" w:hAnsi="仿宋" w:eastAsia="仿宋" w:cs="仿宋"/>
          <w:b w:val="0"/>
          <w:bCs w:val="0"/>
          <w:spacing w:val="-4"/>
          <w:sz w:val="32"/>
          <w:szCs w:val="32"/>
        </w:rPr>
        <w:t>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喀什地区伽师县2024年琼巴格路供水管网及附属设施工程建设项目绩效评价指标体系及综合评分表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1.65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8.23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5.49</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87.37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马燕辉任评价组组长，绩效评价工作职责为负责全盘工作。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高积祥任评价组副组长，绩效评价工作职责为对项目实施情况进行实地调查。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刘成雨任评价组成员，绩效评价工作职责为负责资料审核等工作。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通过实施喀什地区伽师县 2024 年琼巴格路供水管网及附属工程建设项目保障居民用水条件的效益。项目实施主要通过项目决策、项目过程、项目产出以及项目效益等方面进行评价，其中：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项目决策：该项目主要通过喀发改投资〔2023】565号文件立项，项目实施符合施工要求，项目立项依据充分，立项程序规范。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项目过程：喀什地区伽师县 2024 年琼巴格路供水管网及附属工程建设项目预算安排 1800万元，实际支出988.17万元，预算执行率54.9%。项目资金使用合规，项目财务管理制度健全，财务监控到位，所有资金支付均按照国库集中支付制度严格执行，现有项目管理制度执行情况良好。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项目产出：该项目于2024年8月1日开始施工，建设内容：新建供水管网 12 公里、购置室外消火栓 120个，及相关配套系统设施设备等建设。其中 DN160PE 供水管道4公里，DN110PE 供水管道8公里。截止2024年12月31日该项目已施工完毕并已审计，资金支付988.17万元。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项目效益：通过实施此项目居民用水条件有效保障。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伽师县 2024 年琼巴格路供水管网及附属工程建设项目进行客观评价，最终评分结果：评价总分87.37分，绩效等级为“良”。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项目绩效评价评分情况表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93.25%  18.65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84.96%  38.23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54.9%  5.49</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87.37%    87.37</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伽师县住房和城乡建设局《关于申请喀什地区伽师县2024年琼巴格路供水管网及附属设施工程建设项目的运行资金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结合伽师县住房和城乡建设局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（2）立项程序规范性：根据决策依据编制工作计划和经费预算，经过与单位分管领导进行沟通、筛选确定经费预算计划，上党委会研究确定最终预算方案，根据评分标准，该指标不扣分，得2分。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资金来源本级资金，资金总额为1800万元。用于新建供水管网12公里，购置室外消火栓120个，及相关配套系统设施设备等建设，其中：DN160PE供水管网4公里，DN110PE供水管网8公里。通过实施本项目可有效改善居民用水条件，提高政府公信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止2024年12月31日，项目预算安排资金1800万元，资金到位1800万元，已支付988.17万元，资金执行率54.9%，用于新建供水管网12公里，购置室外消火栓120个，及相关配套系统设施设备等建设，其中：DN160PE供水管网4公里，DN110PE供水管网8公里。通过实施本项目可有效改善居民用水条件，提高政府公信度。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用于新建供水管网12公里，购置室外消火栓120个，及相关配套系统设施设备等建设，其中：DN160PE供水管网4公里，DN110PE供水管网8公里。通过实施本项目可有效改善居民用水条件，提高政府公信度，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④该项目批复的预算金额为1800万元，《项目支出绩效目标表》中预算金额为1800万元，预算确定的项目资金与预算确定的项目投资额相匹配。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经检查我单位年初设置的《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新建供水管网长度12公里，三级指标的年度指标值与年度绩效目标中任务数一致，已设置时效指标“项目完成时间2024年12月25日、项目申报开工及时率100%”。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（5）预算编制科学性：本伽师县2024年琼巴格路供水管网及附属设施工程建设项目，预算编制较科学且经过论证；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预算申请内容为用于改造供水管网长度12公里，项目实际内容为新建供水管网长度12公里，预算申请与《伽师县2024年琼巴格路供水管网及附属设施工程建设项目实施方案》中涉及的项目内容匹配；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1800万元，我单位在预算申请中严格按照项目实施内容及测算标准进行核算，其中：新建供水管网长度成本150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喀什地区伽师县2024年琼巴格路供水管网及附属设施工程建设项目运行资金的报告》和《伽师县2024年琼巴格路供水管网及附属设施工程建设项目实施方案》为依据进行资金分配，预算资金分配依据充分。根据伽财预〔2024〕001号文件，本项目实际到位资金1800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5个三级指标构成，权重分为20分，实际得分18.65分，得分率为93.25%。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1800万元，其中：财政安排资金1800万元，其他资金0万元，实际到位资金1800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988.17万元，预算执行率=（988.17/1800）×100.0%=54.9%；通过分析可知，该项目预算编制较为详细，项目资金支出总体能够按照预算执行，根据评分标准，该指标得1.65分。偏差原因为未及时支付工程进度款，采取的措施加强财政资金的审批及拨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伽师县住房和城乡建设局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住房和城乡建设局资金管理办法》《伽师县住房和城乡建设局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住房和城乡建设局单位管理办法》《伽师县住房和城乡建设局项目管理制度》《政府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2024年琼巴格路供水管网及附属设施工程建设项目工作领导小组，由马燕辉任组长，负责项目的组织工作；高积祥任副组长，负责对项目实施情况进行实地调查；组员包括：刘成雨，主要负责项目监督管理、资料审核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项目产出类指标包括产出数量、产出质量、产出时效、产出成本四方面的内容，由4个三级指标构成，权重分为45分，实际得分38.23分，得分率为84.96%。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新建供水管网长度指标，预期指标值为12公里，实际完成值为12公里，指标完成率为100%，与预期目标一致，根据评分标准，该指标不扣分，得10分。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项目实施检验合格率指标，预期指标值为100%，实际完成值为100%，指标完成率为100%，与预期目标一致，根据评分标准，该指标不扣分，得5分。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资金使用合格率指标，预期指标值为100%，实际完成值为100%，指标完成率为100%，与预期目标一致，根据评分标准，该指标不扣分，得5分。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项目完成时间指标，预期指标值为2024年12月25日，实际完成值为2024年12月25日，指标完成率为100%，与预期目标一致，根据评分标准，该指标不扣分，得5分。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项目申报开工及时率指标，预期指标值为100%，实际完成值为100%，指标完成率为100%，与预期目标一致，根据评分标准，该指标不扣分，得5分。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经济成本指标，预期指标值为小于等于150万元，实际完成值为82.35万元，指标完成率为54.9%，本年支付工程余款金额811.83万元，项目经费都能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范围内，根据评分标准，该指标扣6.77分，得8.23分。偏差原因为未及时支付工程进度款，采取的措施加强财政资金的审批及拨付。</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项目效益类指标包括项目效益1个方面的内容，由1个三级指标构成，权重分为10分，实际得分5.49分，得分率为54.9%。</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居民用水条件指标，该指标预期指标值为有效保障，实际完成值为有效保障，指标完成率为54.9%，根据评分标准，该指标扣4.51分，得5.49分。偏差原因：截止2024年12月31日该项目已完工，但资金未完全支出；改进措施：加快资金审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实施效益指标合计得5.49分。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对于“满意度指标：受益群众满意度，该指标预期指标值为大于等于95%，实际完成值为100%，指标完成率为105%，受益群众满意度比预期高，根据评分标准，该指标不扣分,得10分。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喀什地区伽师县2024 年琼巴格路供水管网及附属工程</w:t>
      </w:r>
      <w:r>
        <w:rPr>
          <w:rStyle w:val="19"/>
          <w:rFonts w:hint="eastAsia" w:ascii="仿宋" w:hAnsi="仿宋" w:eastAsia="仿宋" w:cs="仿宋"/>
          <w:b w:val="0"/>
          <w:bCs w:val="0"/>
          <w:spacing w:val="-4"/>
          <w:sz w:val="32"/>
          <w:szCs w:val="32"/>
          <w:lang w:eastAsia="zh-CN"/>
        </w:rPr>
        <w:t>建设项目</w:t>
      </w:r>
      <w:r>
        <w:rPr>
          <w:rStyle w:val="19"/>
          <w:rFonts w:hint="eastAsia" w:ascii="仿宋" w:hAnsi="仿宋" w:eastAsia="仿宋" w:cs="仿宋"/>
          <w:b w:val="0"/>
          <w:bCs w:val="0"/>
          <w:spacing w:val="-4"/>
          <w:sz w:val="32"/>
          <w:szCs w:val="32"/>
        </w:rPr>
        <w:t>预算1800万元，到位1800万元，实际支出988.17万元，预算执行率为54.9%，项目绩效指标总体完成率为89.3%，偏差率为34.4%，偏差原因为未及时支付工程进度款，采取的措施加强财政资金的审批及拨付。</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一是本项目能够严格按照《项目实施方案》执行，项目执行情况较好。二是加强组织领导，本项目绩效评价工作，</w:t>
      </w:r>
      <w:r>
        <w:rPr>
          <w:rStyle w:val="19"/>
          <w:rFonts w:hint="eastAsia" w:ascii="仿宋" w:hAnsi="仿宋" w:eastAsia="仿宋" w:cs="仿宋"/>
          <w:b w:val="0"/>
          <w:bCs w:val="0"/>
          <w:spacing w:val="-4"/>
          <w:sz w:val="32"/>
          <w:szCs w:val="32"/>
          <w:lang w:eastAsia="zh-CN"/>
        </w:rPr>
        <w:t>由</w:t>
      </w:r>
      <w:r>
        <w:rPr>
          <w:rStyle w:val="19"/>
          <w:rFonts w:hint="eastAsia" w:ascii="仿宋" w:hAnsi="仿宋" w:eastAsia="仿宋" w:cs="仿宋"/>
          <w:b w:val="0"/>
          <w:bCs w:val="0"/>
          <w:spacing w:val="-4"/>
          <w:sz w:val="32"/>
          <w:szCs w:val="32"/>
        </w:rPr>
        <w:t>县政府主要领导亲自挂帅，分管县领导具体负责，从项目到资金，均能</w:t>
      </w:r>
      <w:r>
        <w:rPr>
          <w:rStyle w:val="19"/>
          <w:rFonts w:hint="eastAsia" w:ascii="仿宋" w:hAnsi="仿宋" w:eastAsia="仿宋" w:cs="仿宋"/>
          <w:b w:val="0"/>
          <w:bCs w:val="0"/>
          <w:spacing w:val="-4"/>
          <w:sz w:val="32"/>
          <w:szCs w:val="32"/>
          <w:lang w:eastAsia="zh-CN"/>
        </w:rPr>
        <w:t>够</w:t>
      </w:r>
      <w:r>
        <w:rPr>
          <w:rStyle w:val="19"/>
          <w:rFonts w:hint="eastAsia" w:ascii="仿宋" w:hAnsi="仿宋" w:eastAsia="仿宋" w:cs="仿宋"/>
          <w:b w:val="0"/>
          <w:bCs w:val="0"/>
          <w:spacing w:val="-4"/>
          <w:sz w:val="32"/>
          <w:szCs w:val="32"/>
        </w:rPr>
        <w:t>很好</w:t>
      </w:r>
      <w:r>
        <w:rPr>
          <w:rStyle w:val="19"/>
          <w:rFonts w:hint="eastAsia" w:ascii="仿宋" w:hAnsi="仿宋" w:eastAsia="仿宋" w:cs="仿宋"/>
          <w:b w:val="0"/>
          <w:bCs w:val="0"/>
          <w:spacing w:val="-4"/>
          <w:sz w:val="32"/>
          <w:szCs w:val="32"/>
          <w:lang w:eastAsia="zh-CN"/>
        </w:rPr>
        <w:t>地</w:t>
      </w:r>
      <w:r>
        <w:rPr>
          <w:rStyle w:val="19"/>
          <w:rFonts w:hint="eastAsia" w:ascii="仿宋" w:hAnsi="仿宋" w:eastAsia="仿宋" w:cs="仿宋"/>
          <w:b w:val="0"/>
          <w:bCs w:val="0"/>
          <w:spacing w:val="-4"/>
          <w:sz w:val="32"/>
          <w:szCs w:val="32"/>
        </w:rPr>
        <w:t>执行。三是加强沟通协调，我单位及时向县领导汇报项目建设进度，加强与施工单位的沟通，确保项目按期完工。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应建立项目资金管理责任追究制度。杜绝挤占、挪用、截留项目资金，疏于管理造成国有资产流失行为。项目完工后，相关行政主管部门组织对项目资金进行专项审计。细化绩效目标，建立“预算编制有目标、预算执行有监控、预算完成有评价、评价结果有反馈、反馈结果有应用”的预算绩效管理机制。</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建立“预算编制有目标、预算执行有监控、预算完成有评价、评价结果有反馈、反馈结果有应用”的预算绩效管理机制。第强化前期准备工作，加强项目实施方案和计划的可行性论证。建议项目单位在项目开展前进行深入的维护需求调研，并形成需求调研报告，在此基础上，仔细撰写可行性研究报告，对项目开展的必要性、可行性、风险防范措施等进行深入分析，同时制定工作实施方案和资金使用。</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w:t>
      </w:r>
      <w:bookmarkStart w:id="0" w:name="_GoBack"/>
      <w:bookmarkEnd w:id="0"/>
      <w:r>
        <w:rPr>
          <w:rStyle w:val="19"/>
          <w:rFonts w:hint="eastAsia" w:ascii="仿宋" w:hAnsi="仿宋" w:eastAsia="仿宋" w:cs="仿宋"/>
          <w:b w:val="0"/>
          <w:bCs w:val="0"/>
          <w:spacing w:val="-4"/>
          <w:sz w:val="32"/>
          <w:szCs w:val="32"/>
        </w:rPr>
        <w:t>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1F964CB0"/>
    <w:rsid w:val="61BE408A"/>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da7d69-827c-4ed9-a026-487f6dcebad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3</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2025-10-21T11:41:29Z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