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/>
        </w:rPr>
      </w:pPr>
      <w:bookmarkStart w:id="0" w:name="_GoBack"/>
      <w:r>
        <w:rPr>
          <w:rFonts w:hint="eastAsia" w:ascii="Times New Roman" w:hAnsi="Times New Roman"/>
        </w:rPr>
        <w:t>商品房预售资金监管账户变更审批表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仿宋_GBK" w:cs="方正仿宋_GBK"/>
          <w:b/>
          <w:color w:val="auto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 xml:space="preserve">                       办件号：</w:t>
      </w:r>
    </w:p>
    <w:tbl>
      <w:tblPr>
        <w:tblStyle w:val="4"/>
        <w:tblW w:w="91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60"/>
        <w:gridCol w:w="353"/>
        <w:gridCol w:w="1808"/>
        <w:gridCol w:w="2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（企业名称）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委托代理人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联系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原企业名称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监管编号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开户银行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是否修改账号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新支行名称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原支行名称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新监管账户名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原监管账户名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新监管账号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原监管账号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变更原因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□企业更名  □开户行更名 □监管账号变更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建设单位意见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本公司保证所提供以上信息及资料均真实准确，如有不实愿承担法律和经济责任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法定代表人（签章）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监管机构意见</w:t>
            </w:r>
          </w:p>
        </w:tc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伽师县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2025-11-19T09:56:41Z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