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360" w:lineRule="auto"/>
        <w:ind w:firstLine="520"/>
        <w:jc w:val="center"/>
        <w:textAlignment w:val="center"/>
        <w:rPr>
          <w:rFonts w:ascii="Times New Roman" w:hAnsi="Times New Roman" w:eastAsia="黑体"/>
          <w:color w:val="000000" w:themeColor="text1"/>
          <w:spacing w:val="-20"/>
          <w:sz w:val="30"/>
          <w:szCs w:val="30"/>
          <w:u w:color="000000" w:themeColor="text1"/>
          <w:lang w:eastAsia="zh-CN"/>
          <w14:textFill>
            <w14:solidFill>
              <w14:schemeClr w14:val="tx1"/>
            </w14:solidFill>
          </w14:textFill>
        </w:rPr>
      </w:pPr>
      <w:bookmarkStart w:id="0" w:name="OLE_LINK8"/>
    </w:p>
    <w:p>
      <w:pPr>
        <w:adjustRightInd w:val="0"/>
        <w:snapToGrid w:val="0"/>
        <w:spacing w:after="0" w:line="360" w:lineRule="auto"/>
        <w:ind w:firstLine="800"/>
        <w:jc w:val="center"/>
        <w:textAlignment w:val="center"/>
        <w:rPr>
          <w:rFonts w:ascii="Times New Roman" w:hAnsi="Times New Roman" w:eastAsia="黑体"/>
          <w:color w:val="000000" w:themeColor="text1"/>
          <w:spacing w:val="-20"/>
          <w:sz w:val="44"/>
          <w:szCs w:val="44"/>
          <w:u w:color="000000" w:themeColor="text1"/>
          <w:lang w:eastAsia="zh-CN"/>
          <w14:textFill>
            <w14:solidFill>
              <w14:schemeClr w14:val="tx1"/>
            </w14:solidFill>
          </w14:textFill>
        </w:rPr>
      </w:pPr>
    </w:p>
    <w:p>
      <w:pPr>
        <w:adjustRightInd w:val="0"/>
        <w:snapToGrid w:val="0"/>
        <w:spacing w:after="0" w:line="360" w:lineRule="auto"/>
        <w:jc w:val="center"/>
        <w:textAlignment w:val="center"/>
        <w:rPr>
          <w:rFonts w:ascii="黑体" w:hAnsi="黑体" w:eastAsia="黑体"/>
          <w:color w:val="000000" w:themeColor="text1"/>
          <w:spacing w:val="-20"/>
          <w:sz w:val="52"/>
          <w:szCs w:val="52"/>
          <w:u w:color="000000" w:themeColor="text1"/>
          <w:lang w:eastAsia="zh-CN"/>
          <w14:textFill>
            <w14:solidFill>
              <w14:schemeClr w14:val="tx1"/>
            </w14:solidFill>
          </w14:textFill>
        </w:rPr>
      </w:pPr>
      <w:r>
        <w:rPr>
          <w:rFonts w:ascii="黑体" w:hAnsi="黑体" w:eastAsia="黑体"/>
          <w:color w:val="000000" w:themeColor="text1"/>
          <w:spacing w:val="-20"/>
          <w:sz w:val="52"/>
          <w:szCs w:val="52"/>
          <w:u w:color="000000" w:themeColor="text1"/>
          <w:lang w:eastAsia="zh-CN"/>
          <w14:textFill>
            <w14:solidFill>
              <w14:schemeClr w14:val="tx1"/>
            </w14:solidFill>
          </w14:textFill>
        </w:rPr>
        <w:t>喀什噶尔河克孜河伽师县贝纳木南岸防洪工程（K162+250～K165+850段）临时用地土地复垦方案</w:t>
      </w:r>
      <w:r>
        <w:rPr>
          <w:rFonts w:hint="eastAsia" w:ascii="黑体" w:hAnsi="黑体" w:eastAsia="黑体"/>
          <w:color w:val="000000" w:themeColor="text1"/>
          <w:spacing w:val="-20"/>
          <w:sz w:val="52"/>
          <w:szCs w:val="52"/>
          <w:u w:color="000000" w:themeColor="text1"/>
          <w:lang w:eastAsia="zh-CN"/>
          <w14:textFill>
            <w14:solidFill>
              <w14:schemeClr w14:val="tx1"/>
            </w14:solidFill>
          </w14:textFill>
        </w:rPr>
        <w:t>编制成果</w:t>
      </w: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ind w:firstLine="440"/>
        <w:rPr>
          <w:lang w:eastAsia="zh-CN"/>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p>
      <w:pPr>
        <w:adjustRightInd w:val="0"/>
        <w:snapToGrid w:val="0"/>
        <w:spacing w:after="0" w:line="360" w:lineRule="auto"/>
        <w:ind w:firstLine="1040"/>
        <w:jc w:val="center"/>
        <w:textAlignment w:val="center"/>
        <w:rPr>
          <w:rFonts w:ascii="Times New Roman" w:hAnsi="Times New Roman" w:eastAsia="黑体"/>
          <w:color w:val="000000" w:themeColor="text1"/>
          <w:sz w:val="52"/>
          <w:szCs w:val="52"/>
          <w:u w:color="000000" w:themeColor="text1"/>
          <w:lang w:eastAsia="zh-CN"/>
          <w14:textFill>
            <w14:solidFill>
              <w14:schemeClr w14:val="tx1"/>
            </w14:solidFill>
          </w14:textFill>
        </w:rPr>
      </w:pPr>
    </w:p>
    <w:bookmarkEnd w:id="0"/>
    <w:p>
      <w:pPr>
        <w:adjustRightInd w:val="0"/>
        <w:snapToGrid w:val="0"/>
        <w:spacing w:after="0" w:line="360" w:lineRule="auto"/>
        <w:ind w:left="1100" w:leftChars="500" w:firstLine="600"/>
        <w:jc w:val="both"/>
        <w:rPr>
          <w:rFonts w:ascii="Times New Roman" w:hAnsi="Times New Roman" w:eastAsia="黑体"/>
          <w:color w:val="000000" w:themeColor="text1"/>
          <w:sz w:val="30"/>
          <w:szCs w:val="30"/>
          <w:lang w:eastAsia="zh-CN"/>
          <w14:textFill>
            <w14:solidFill>
              <w14:schemeClr w14:val="tx1"/>
            </w14:solidFill>
          </w14:textFill>
        </w:rPr>
      </w:pPr>
      <w:r>
        <w:rPr>
          <w:rFonts w:ascii="Times New Roman" w:hAnsi="Times New Roman" w:eastAsia="黑体"/>
          <w:color w:val="000000" w:themeColor="text1"/>
          <w:sz w:val="30"/>
          <w:szCs w:val="30"/>
          <w:lang w:eastAsia="zh-CN"/>
          <w14:textFill>
            <w14:solidFill>
              <w14:schemeClr w14:val="tx1"/>
            </w14:solidFill>
          </w14:textFill>
        </w:rPr>
        <w:t>项目单位：</w:t>
      </w:r>
      <w:r>
        <w:rPr>
          <w:rFonts w:hint="eastAsia" w:ascii="Times New Roman" w:hAnsi="Times New Roman" w:eastAsia="黑体"/>
          <w:color w:val="000000" w:themeColor="text1"/>
          <w:sz w:val="30"/>
          <w:szCs w:val="30"/>
          <w:lang w:eastAsia="zh-CN"/>
          <w14:textFill>
            <w14:solidFill>
              <w14:schemeClr w14:val="tx1"/>
            </w14:solidFill>
          </w14:textFill>
        </w:rPr>
        <w:t>伽师县水管总站</w:t>
      </w:r>
    </w:p>
    <w:p>
      <w:pPr>
        <w:adjustRightInd w:val="0"/>
        <w:snapToGrid w:val="0"/>
        <w:spacing w:after="0" w:line="360" w:lineRule="auto"/>
        <w:ind w:left="1100" w:leftChars="500" w:firstLine="600"/>
        <w:jc w:val="both"/>
        <w:rPr>
          <w:rFonts w:ascii="Times New Roman" w:hAnsi="Times New Roman" w:eastAsia="黑体"/>
          <w:color w:val="000000" w:themeColor="text1"/>
          <w:sz w:val="30"/>
          <w:szCs w:val="30"/>
          <w:lang w:eastAsia="zh-CN"/>
          <w14:textFill>
            <w14:solidFill>
              <w14:schemeClr w14:val="tx1"/>
            </w14:solidFill>
          </w14:textFill>
        </w:rPr>
      </w:pPr>
      <w:r>
        <w:rPr>
          <w:rFonts w:ascii="Times New Roman" w:hAnsi="Times New Roman" w:eastAsia="黑体"/>
          <w:color w:val="000000" w:themeColor="text1"/>
          <w:sz w:val="30"/>
          <w:szCs w:val="30"/>
          <w:lang w:eastAsia="zh-CN"/>
          <w14:textFill>
            <w14:solidFill>
              <w14:schemeClr w14:val="tx1"/>
            </w14:solidFill>
          </w14:textFill>
        </w:rPr>
        <w:t>编制单位：新疆成地汇海勘测规划有限公司</w:t>
      </w:r>
    </w:p>
    <w:p>
      <w:pPr>
        <w:adjustRightInd w:val="0"/>
        <w:snapToGrid w:val="0"/>
        <w:spacing w:after="0" w:line="360" w:lineRule="auto"/>
        <w:ind w:left="1100" w:leftChars="500" w:firstLine="600" w:firstLineChars="200"/>
        <w:jc w:val="both"/>
        <w:rPr>
          <w:rFonts w:ascii="Times New Roman" w:hAnsi="Times New Roman" w:eastAsia="黑体"/>
          <w:color w:val="000000" w:themeColor="text1"/>
          <w:sz w:val="30"/>
          <w:szCs w:val="30"/>
          <w:u w:color="000000" w:themeColor="text1"/>
          <w:lang w:eastAsia="zh-CN"/>
          <w14:textFill>
            <w14:solidFill>
              <w14:schemeClr w14:val="tx1"/>
            </w14:solidFill>
          </w14:textFill>
        </w:rPr>
      </w:pPr>
      <w:r>
        <w:rPr>
          <w:rFonts w:hint="eastAsia" w:ascii="Times New Roman" w:hAnsi="Times New Roman" w:eastAsia="黑体"/>
          <w:color w:val="000000" w:themeColor="text1"/>
          <w:sz w:val="30"/>
          <w:szCs w:val="30"/>
          <w:u w:color="000000" w:themeColor="text1"/>
          <w:lang w:eastAsia="zh-CN"/>
          <w14:textFill>
            <w14:solidFill>
              <w14:schemeClr w14:val="tx1"/>
            </w14:solidFill>
          </w14:textFill>
        </w:rPr>
        <w:t>编制时间：二</w:t>
      </w:r>
      <w:r>
        <w:rPr>
          <w:rFonts w:ascii="Times New Roman" w:hAnsi="Times New Roman" w:eastAsia="黑体"/>
          <w:color w:val="000000" w:themeColor="text1"/>
          <w:sz w:val="30"/>
          <w:szCs w:val="30"/>
          <w:lang w:eastAsia="zh-CN"/>
          <w14:textFill>
            <w14:solidFill>
              <w14:schemeClr w14:val="tx1"/>
            </w14:solidFill>
          </w14:textFill>
        </w:rPr>
        <w:t>〇</w:t>
      </w:r>
      <w:r>
        <w:rPr>
          <w:rFonts w:hint="eastAsia" w:ascii="Times New Roman" w:hAnsi="Times New Roman" w:eastAsia="黑体"/>
          <w:color w:val="000000" w:themeColor="text1"/>
          <w:sz w:val="30"/>
          <w:szCs w:val="30"/>
          <w:u w:color="000000" w:themeColor="text1"/>
          <w:lang w:eastAsia="zh-CN"/>
          <w14:textFill>
            <w14:solidFill>
              <w14:schemeClr w14:val="tx1"/>
            </w14:solidFill>
          </w14:textFill>
        </w:rPr>
        <w:t>二六年六月</w:t>
      </w:r>
    </w:p>
    <w:p>
      <w:pPr>
        <w:adjustRightInd w:val="0"/>
        <w:snapToGrid w:val="0"/>
        <w:spacing w:after="0" w:line="360" w:lineRule="auto"/>
        <w:ind w:firstLine="600"/>
        <w:jc w:val="center"/>
        <w:rPr>
          <w:rFonts w:ascii="Times New Roman" w:hAnsi="Times New Roman" w:eastAsia="黑体"/>
          <w:color w:val="000000" w:themeColor="text1"/>
          <w:sz w:val="30"/>
          <w:szCs w:val="30"/>
          <w:u w:color="000000" w:themeColor="text1"/>
          <w:lang w:eastAsia="zh-CN"/>
          <w14:textFill>
            <w14:solidFill>
              <w14:schemeClr w14:val="tx1"/>
            </w14:solidFill>
          </w14:textFill>
        </w:rPr>
        <w:sectPr>
          <w:headerReference r:id="rId3" w:type="first"/>
          <w:footerReference r:id="rId5" w:type="first"/>
          <w:footerReference r:id="rId4" w:type="even"/>
          <w:pgSz w:w="11906" w:h="16838"/>
          <w:pgMar w:top="1440" w:right="1800" w:bottom="1440" w:left="1800" w:header="851" w:footer="992" w:gutter="0"/>
          <w:pgNumType w:start="1"/>
          <w:cols w:space="720" w:num="1"/>
          <w:docGrid w:linePitch="312" w:charSpace="0"/>
        </w:sectPr>
      </w:pPr>
    </w:p>
    <w:p>
      <w:pPr>
        <w:ind w:firstLine="888"/>
        <w:jc w:val="center"/>
        <w:rPr>
          <w:rFonts w:eastAsia="黑体"/>
          <w:spacing w:val="2"/>
          <w:sz w:val="44"/>
          <w:szCs w:val="44"/>
          <w:lang w:eastAsia="zh-CN"/>
        </w:rPr>
      </w:pPr>
    </w:p>
    <w:p>
      <w:pPr>
        <w:adjustRightInd w:val="0"/>
        <w:snapToGrid w:val="0"/>
        <w:spacing w:after="0" w:line="360" w:lineRule="auto"/>
        <w:jc w:val="center"/>
        <w:textAlignment w:val="center"/>
        <w:rPr>
          <w:rFonts w:ascii="黑体" w:hAnsi="黑体" w:eastAsia="黑体"/>
          <w:color w:val="000000" w:themeColor="text1"/>
          <w:spacing w:val="-20"/>
          <w:sz w:val="48"/>
          <w:szCs w:val="52"/>
          <w:u w:color="000000" w:themeColor="text1"/>
          <w:lang w:eastAsia="zh-CN"/>
          <w14:textFill>
            <w14:solidFill>
              <w14:schemeClr w14:val="tx1"/>
            </w14:solidFill>
          </w14:textFill>
        </w:rPr>
      </w:pPr>
      <w:r>
        <w:rPr>
          <w:rFonts w:ascii="黑体" w:hAnsi="黑体" w:eastAsia="黑体"/>
          <w:color w:val="000000" w:themeColor="text1"/>
          <w:spacing w:val="-20"/>
          <w:sz w:val="48"/>
          <w:szCs w:val="52"/>
          <w:u w:color="000000" w:themeColor="text1"/>
          <w:lang w:eastAsia="zh-CN"/>
          <w14:textFill>
            <w14:solidFill>
              <w14:schemeClr w14:val="tx1"/>
            </w14:solidFill>
          </w14:textFill>
        </w:rPr>
        <w:t>喀什噶尔河克孜河伽师县贝纳木南岸防洪工程（K162+250～K165+850段）临时用地土地复垦方案报告书</w:t>
      </w:r>
    </w:p>
    <w:p>
      <w:pPr>
        <w:spacing w:line="800" w:lineRule="exact"/>
        <w:ind w:firstLine="883"/>
        <w:jc w:val="center"/>
        <w:rPr>
          <w:rFonts w:eastAsia="仿宋"/>
          <w:b/>
          <w:sz w:val="44"/>
          <w:szCs w:val="44"/>
          <w:lang w:eastAsia="zh-CN"/>
        </w:rPr>
      </w:pPr>
    </w:p>
    <w:p>
      <w:pPr>
        <w:spacing w:line="800" w:lineRule="exact"/>
        <w:ind w:firstLine="883"/>
        <w:jc w:val="center"/>
        <w:rPr>
          <w:rFonts w:eastAsia="仿宋"/>
          <w:b/>
          <w:sz w:val="44"/>
          <w:szCs w:val="44"/>
          <w:lang w:eastAsia="zh-CN"/>
        </w:rPr>
      </w:pPr>
    </w:p>
    <w:p>
      <w:pPr>
        <w:spacing w:line="800" w:lineRule="exact"/>
        <w:ind w:firstLine="883"/>
        <w:jc w:val="center"/>
        <w:rPr>
          <w:rFonts w:eastAsia="仿宋"/>
          <w:b/>
          <w:sz w:val="44"/>
          <w:szCs w:val="44"/>
          <w:lang w:eastAsia="zh-CN"/>
        </w:rPr>
      </w:pPr>
    </w:p>
    <w:p>
      <w:pPr>
        <w:spacing w:line="560" w:lineRule="exact"/>
        <w:ind w:left="1655" w:leftChars="116" w:hanging="1400" w:hangingChars="500"/>
        <w:rPr>
          <w:rFonts w:ascii="仿宋" w:hAnsi="仿宋" w:eastAsia="仿宋"/>
          <w:sz w:val="28"/>
          <w:szCs w:val="28"/>
          <w:u w:val="single" w:color="000000"/>
          <w:lang w:eastAsia="zh-CN"/>
        </w:rPr>
      </w:pPr>
      <w:r>
        <w:rPr>
          <w:rFonts w:ascii="仿宋" w:hAnsi="仿宋" w:eastAsia="仿宋"/>
          <w:sz w:val="28"/>
          <w:szCs w:val="28"/>
          <w:lang w:eastAsia="zh-CN"/>
        </w:rPr>
        <w:t>项目名称：</w:t>
      </w:r>
      <w:r>
        <w:rPr>
          <w:rFonts w:ascii="仿宋" w:hAnsi="仿宋" w:eastAsia="仿宋"/>
          <w:sz w:val="28"/>
          <w:szCs w:val="28"/>
          <w:u w:val="single" w:color="000000"/>
          <w:lang w:eastAsia="zh-CN"/>
        </w:rPr>
        <w:t>喀什噶尔河克孜河伽师县贝纳木南岸防洪工程（K162+250～K165+850段）临时用地土地复垦</w:t>
      </w:r>
    </w:p>
    <w:p>
      <w:pPr>
        <w:spacing w:line="560" w:lineRule="exact"/>
        <w:ind w:left="1355" w:leftChars="616" w:firstLine="280" w:firstLineChars="100"/>
        <w:rPr>
          <w:rFonts w:ascii="仿宋" w:hAnsi="仿宋" w:eastAsia="仿宋"/>
          <w:sz w:val="28"/>
          <w:szCs w:val="28"/>
          <w:u w:val="single" w:color="000000"/>
          <w:lang w:eastAsia="zh-CN"/>
        </w:rPr>
      </w:pPr>
      <w:r>
        <w:rPr>
          <w:rFonts w:ascii="仿宋" w:hAnsi="仿宋" w:eastAsia="仿宋"/>
          <w:sz w:val="28"/>
          <w:szCs w:val="28"/>
          <w:u w:val="single" w:color="000000"/>
          <w:lang w:eastAsia="zh-CN"/>
        </w:rPr>
        <w:t>方案报告书</w:t>
      </w:r>
    </w:p>
    <w:p>
      <w:pPr>
        <w:spacing w:line="560" w:lineRule="exact"/>
        <w:ind w:firstLine="280" w:firstLineChars="100"/>
        <w:rPr>
          <w:rFonts w:ascii="仿宋" w:hAnsi="仿宋" w:eastAsia="仿宋"/>
          <w:sz w:val="28"/>
          <w:szCs w:val="28"/>
          <w:u w:val="single" w:color="000000"/>
          <w:lang w:eastAsia="zh-CN"/>
        </w:rPr>
      </w:pPr>
      <w:r>
        <w:rPr>
          <w:rFonts w:ascii="仿宋" w:hAnsi="仿宋" w:eastAsia="仿宋"/>
          <w:sz w:val="28"/>
          <w:szCs w:val="28"/>
          <w:lang w:eastAsia="zh-CN"/>
        </w:rPr>
        <w:t>项目单位：</w:t>
      </w:r>
      <w:r>
        <w:rPr>
          <w:rFonts w:hint="eastAsia" w:ascii="仿宋" w:hAnsi="仿宋" w:eastAsia="仿宋"/>
          <w:sz w:val="28"/>
          <w:szCs w:val="28"/>
          <w:u w:val="single" w:color="000000"/>
          <w:lang w:eastAsia="zh-CN"/>
        </w:rPr>
        <w:t>伽师县水管总站</w:t>
      </w:r>
    </w:p>
    <w:p>
      <w:pPr>
        <w:spacing w:line="560" w:lineRule="exact"/>
        <w:ind w:firstLine="280" w:firstLineChars="100"/>
        <w:rPr>
          <w:rFonts w:ascii="仿宋" w:hAnsi="仿宋" w:eastAsia="仿宋"/>
          <w:sz w:val="28"/>
          <w:szCs w:val="28"/>
          <w:u w:val="single" w:color="000000"/>
          <w:lang w:eastAsia="zh-CN"/>
        </w:rPr>
      </w:pPr>
      <w:r>
        <w:rPr>
          <w:rFonts w:ascii="仿宋" w:hAnsi="仿宋" w:eastAsia="仿宋"/>
          <w:sz w:val="28"/>
          <w:szCs w:val="28"/>
          <w:lang w:eastAsia="zh-CN"/>
        </w:rPr>
        <w:t>单位地址：</w:t>
      </w:r>
    </w:p>
    <w:p>
      <w:pPr>
        <w:spacing w:line="560" w:lineRule="exact"/>
        <w:ind w:firstLine="280" w:firstLineChars="100"/>
        <w:rPr>
          <w:rFonts w:ascii="仿宋" w:hAnsi="仿宋" w:eastAsia="仿宋"/>
          <w:sz w:val="28"/>
          <w:szCs w:val="28"/>
          <w:u w:val="single" w:color="000000"/>
          <w:lang w:eastAsia="zh-CN"/>
        </w:rPr>
      </w:pPr>
      <w:r>
        <w:rPr>
          <w:rFonts w:ascii="仿宋" w:hAnsi="仿宋" w:eastAsia="仿宋"/>
          <w:sz w:val="28"/>
          <w:szCs w:val="28"/>
          <w:lang w:eastAsia="zh-CN"/>
        </w:rPr>
        <w:t>联系人：</w:t>
      </w:r>
    </w:p>
    <w:p>
      <w:pPr>
        <w:spacing w:line="560" w:lineRule="exact"/>
        <w:ind w:firstLine="280" w:firstLineChars="100"/>
        <w:rPr>
          <w:rFonts w:ascii="仿宋" w:hAnsi="仿宋" w:eastAsia="仿宋"/>
          <w:sz w:val="28"/>
          <w:szCs w:val="28"/>
          <w:u w:val="single" w:color="000000"/>
          <w:lang w:eastAsia="zh-CN"/>
        </w:rPr>
      </w:pPr>
      <w:r>
        <w:rPr>
          <w:rFonts w:ascii="仿宋" w:hAnsi="仿宋" w:eastAsia="仿宋"/>
          <w:sz w:val="28"/>
          <w:szCs w:val="28"/>
          <w:lang w:eastAsia="zh-CN"/>
        </w:rPr>
        <w:t>电话：</w:t>
      </w:r>
    </w:p>
    <w:p>
      <w:pPr>
        <w:spacing w:line="560" w:lineRule="exact"/>
        <w:ind w:firstLine="280" w:firstLineChars="100"/>
        <w:rPr>
          <w:rFonts w:ascii="仿宋" w:hAnsi="仿宋" w:eastAsia="仿宋"/>
          <w:sz w:val="32"/>
          <w:szCs w:val="32"/>
          <w:u w:color="000000" w:themeColor="text1"/>
        </w:rPr>
        <w:sectPr>
          <w:footerReference r:id="rId6" w:type="default"/>
          <w:pgSz w:w="11906" w:h="16838"/>
          <w:pgMar w:top="1440" w:right="1800" w:bottom="1440" w:left="1800" w:header="879" w:footer="1009" w:gutter="0"/>
          <w:pgNumType w:start="1"/>
          <w:cols w:space="2297" w:num="1"/>
          <w:docGrid w:linePitch="299" w:charSpace="0"/>
        </w:sectPr>
      </w:pPr>
      <w:r>
        <w:rPr>
          <w:rFonts w:ascii="仿宋" w:hAnsi="仿宋" w:eastAsia="仿宋"/>
          <w:sz w:val="28"/>
          <w:szCs w:val="28"/>
          <w:lang w:eastAsia="zh-CN"/>
        </w:rPr>
        <w:t>送审时间：</w:t>
      </w:r>
      <w:r>
        <w:rPr>
          <w:rFonts w:ascii="仿宋" w:hAnsi="仿宋" w:eastAsia="仿宋"/>
          <w:sz w:val="32"/>
          <w:szCs w:val="32"/>
          <w:u w:color="000000" w:themeColor="text1"/>
        </w:rPr>
        <w:t xml:space="preserve"> </w:t>
      </w:r>
    </w:p>
    <w:p>
      <w:pPr>
        <w:tabs>
          <w:tab w:val="right" w:leader="dot" w:pos="8310"/>
        </w:tabs>
        <w:adjustRightInd w:val="0"/>
        <w:snapToGrid w:val="0"/>
        <w:spacing w:after="0" w:line="240" w:lineRule="auto"/>
        <w:jc w:val="center"/>
        <w:outlineLvl w:val="0"/>
        <w:rPr>
          <w:rFonts w:ascii="黑体" w:hAnsi="黑体" w:eastAsia="黑体"/>
          <w:sz w:val="32"/>
          <w:szCs w:val="32"/>
          <w:u w:color="000000" w:themeColor="text1"/>
          <w:lang w:eastAsia="zh-CN"/>
        </w:rPr>
      </w:pPr>
      <w:bookmarkStart w:id="1" w:name="_Toc231924948"/>
      <w:bookmarkStart w:id="2" w:name="_Toc235095174"/>
      <w:bookmarkStart w:id="3" w:name="_Toc231978556"/>
      <w:bookmarkStart w:id="4" w:name="_Toc234226565"/>
      <w:bookmarkStart w:id="5" w:name="_Toc234246799"/>
      <w:bookmarkStart w:id="6" w:name="_Toc236071619"/>
      <w:bookmarkStart w:id="7" w:name="_Toc236071677"/>
      <w:r>
        <w:rPr>
          <w:rFonts w:ascii="黑体" w:hAnsi="黑体" w:eastAsia="黑体"/>
          <w:sz w:val="32"/>
          <w:szCs w:val="32"/>
          <w:u w:color="000000" w:themeColor="text1"/>
        </w:rPr>
        <w:t>目  录</w:t>
      </w:r>
      <w:bookmarkEnd w:id="1"/>
      <w:bookmarkEnd w:id="2"/>
      <w:bookmarkEnd w:id="3"/>
      <w:bookmarkEnd w:id="4"/>
      <w:bookmarkEnd w:id="5"/>
      <w:bookmarkEnd w:id="6"/>
      <w:bookmarkEnd w:id="7"/>
    </w:p>
    <w:p>
      <w:pPr>
        <w:pStyle w:val="23"/>
        <w:tabs>
          <w:tab w:val="right" w:leader="dot" w:pos="8296"/>
        </w:tabs>
        <w:rPr>
          <w:rFonts w:asciiTheme="minorHAnsi" w:hAnsiTheme="minorHAnsi" w:eastAsiaTheme="minorEastAsia" w:cstheme="minorBidi"/>
          <w:kern w:val="2"/>
          <w:sz w:val="21"/>
          <w:lang w:eastAsia="zh-CN"/>
        </w:rPr>
      </w:pPr>
      <w:bookmarkStart w:id="8" w:name="_Toc503179529"/>
      <w:r>
        <w:fldChar w:fldCharType="begin"/>
      </w:r>
      <w:r>
        <w:instrText xml:space="preserve"> TOC \o "1-1" \h \z \u </w:instrText>
      </w:r>
      <w:r>
        <w:fldChar w:fldCharType="separate"/>
      </w:r>
      <w:r>
        <w:fldChar w:fldCharType="begin"/>
      </w:r>
      <w:r>
        <w:instrText xml:space="preserve"> HYPERLINK \l "_Toc236071678" </w:instrText>
      </w:r>
      <w:r>
        <w:fldChar w:fldCharType="separate"/>
      </w:r>
      <w:r>
        <w:rPr>
          <w:rStyle w:val="39"/>
          <w:rFonts w:hint="eastAsia"/>
        </w:rPr>
        <w:t>一、项目概况</w:t>
      </w:r>
      <w:r>
        <w:tab/>
      </w:r>
      <w:r>
        <w:fldChar w:fldCharType="begin"/>
      </w:r>
      <w:r>
        <w:instrText xml:space="preserve"> PAGEREF _Toc236071678 \h </w:instrText>
      </w:r>
      <w:r>
        <w:fldChar w:fldCharType="separate"/>
      </w:r>
      <w:r>
        <w:t>11</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"_Toc236071679" </w:instrText>
      </w:r>
      <w:r>
        <w:fldChar w:fldCharType="separate"/>
      </w:r>
      <w:r>
        <w:rPr>
          <w:rStyle w:val="39"/>
          <w:rFonts w:hint="eastAsia"/>
        </w:rPr>
        <w:t>二、服务年限</w:t>
      </w:r>
      <w:r>
        <w:tab/>
      </w:r>
      <w:r>
        <w:fldChar w:fldCharType="begin"/>
      </w:r>
      <w:r>
        <w:instrText xml:space="preserve"> PAGEREF _Toc236071679 \h </w:instrText>
      </w:r>
      <w:r>
        <w:fldChar w:fldCharType="separate"/>
      </w:r>
      <w:r>
        <w:t>15</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"_Toc236071680" </w:instrText>
      </w:r>
      <w:r>
        <w:fldChar w:fldCharType="separate"/>
      </w:r>
      <w:r>
        <w:rPr>
          <w:rStyle w:val="39"/>
          <w:rFonts w:hint="eastAsia"/>
        </w:rPr>
        <w:t>三、复垦区及复垦责任范围</w:t>
      </w:r>
      <w:r>
        <w:tab/>
      </w:r>
      <w:r>
        <w:fldChar w:fldCharType="begin"/>
      </w:r>
      <w:r>
        <w:instrText xml:space="preserve"> PAGEREF _Toc236071680 \h </w:instrText>
      </w:r>
      <w:r>
        <w:fldChar w:fldCharType="separate"/>
      </w:r>
      <w:r>
        <w:t>16</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"_Toc236071681" </w:instrText>
      </w:r>
      <w:r>
        <w:fldChar w:fldCharType="separate"/>
      </w:r>
      <w:r>
        <w:rPr>
          <w:rStyle w:val="39"/>
          <w:rFonts w:hint="eastAsia"/>
        </w:rPr>
        <w:t>四、土地损毁程度分析</w:t>
      </w:r>
      <w:r>
        <w:tab/>
      </w:r>
      <w:r>
        <w:fldChar w:fldCharType="begin"/>
      </w:r>
      <w:r>
        <w:instrText xml:space="preserve"> PAGEREF _Toc236071681 \h </w:instrText>
      </w:r>
      <w:r>
        <w:fldChar w:fldCharType="separate"/>
      </w:r>
      <w:r>
        <w:t>16</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"_Toc236071682" </w:instrText>
      </w:r>
      <w:r>
        <w:fldChar w:fldCharType="separate"/>
      </w:r>
      <w:r>
        <w:rPr>
          <w:rStyle w:val="39"/>
          <w:rFonts w:hint="eastAsia"/>
        </w:rPr>
        <w:t>五、土地复垦适宜性评价</w:t>
      </w:r>
      <w:r>
        <w:tab/>
      </w:r>
      <w:r>
        <w:fldChar w:fldCharType="begin"/>
      </w:r>
      <w:r>
        <w:instrText xml:space="preserve"> PAGEREF _Toc236071682 \h </w:instrText>
      </w:r>
      <w:r>
        <w:fldChar w:fldCharType="separate"/>
      </w:r>
      <w:r>
        <w:t>19</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"_Toc236071683" </w:instrText>
      </w:r>
      <w:r>
        <w:fldChar w:fldCharType="separate"/>
      </w:r>
      <w:r>
        <w:rPr>
          <w:rStyle w:val="39"/>
          <w:rFonts w:hint="eastAsia"/>
        </w:rPr>
        <w:t>六、水土资源平衡分析</w:t>
      </w:r>
      <w:r>
        <w:tab/>
      </w:r>
      <w:r>
        <w:fldChar w:fldCharType="begin"/>
      </w:r>
      <w:r>
        <w:instrText xml:space="preserve"> PAGEREF _Toc236071683 \h </w:instrText>
      </w:r>
      <w:r>
        <w:fldChar w:fldCharType="separate"/>
      </w:r>
      <w:r>
        <w:t>20</w:t>
      </w:r>
      <w:r>
        <w:fldChar w:fldCharType="end"/>
      </w:r>
      <w:r>
        <w:fldChar w:fldCharType="end"/>
      </w:r>
    </w:p>
    <w:p>
      <w:pPr>
        <w:pStyle w:val="23"/>
        <w:tabs>
          <w:tab w:val="right" w:leader="dot" w:pos="8296"/>
        </w:tabs>
        <w:rPr>
          <w:rFonts w:asciiTheme="minorHAnsi" w:hAnsiTheme="minorHAnsi" w:eastAsiaTheme="minorEastAsia" w:cstheme="minorBidi"/>
          <w:kern w:val="2"/>
          <w:sz w:val="21"/>
          <w:lang w:eastAsia="zh-CN"/>
        </w:rPr>
      </w:pPr>
      <w:r>
        <w:fldChar w:fldCharType="begin"/>
      </w:r>
      <w:r>
        <w:instrText xml:space="preserve"> HYPERLINK \l "_Toc236071684" </w:instrText>
      </w:r>
      <w:r>
        <w:fldChar w:fldCharType="separate"/>
      </w:r>
      <w:r>
        <w:rPr>
          <w:rStyle w:val="39"/>
          <w:rFonts w:hint="eastAsia"/>
        </w:rPr>
        <w:t>七、土地复垦投资估算</w:t>
      </w:r>
      <w:r>
        <w:tab/>
      </w:r>
      <w:r>
        <w:fldChar w:fldCharType="begin"/>
      </w:r>
      <w:r>
        <w:instrText xml:space="preserve"> PAGEREF _Toc236071684 \h </w:instrText>
      </w:r>
      <w:r>
        <w:fldChar w:fldCharType="separate"/>
      </w:r>
      <w:r>
        <w:t>21</w:t>
      </w:r>
      <w:r>
        <w:fldChar w:fldCharType="end"/>
      </w:r>
      <w:r>
        <w:fldChar w:fldCharType="end"/>
      </w:r>
    </w:p>
    <w:p>
      <w:pPr>
        <w:tabs>
          <w:tab w:val="right" w:leader="dot" w:pos="8310"/>
        </w:tabs>
        <w:adjustRightInd w:val="0"/>
        <w:snapToGrid w:val="0"/>
        <w:spacing w:after="0" w:line="440" w:lineRule="exact"/>
        <w:ind w:firstLine="480"/>
        <w:jc w:val="center"/>
        <w:outlineLvl w:val="0"/>
        <w:rPr>
          <w:rFonts w:ascii="黑体" w:hAnsi="黑体" w:eastAsia="黑体"/>
          <w:sz w:val="24"/>
          <w:szCs w:val="24"/>
          <w:lang w:eastAsia="zh-CN"/>
        </w:rPr>
        <w:sectPr>
          <w:headerReference r:id="rId7" w:type="default"/>
          <w:footerReference r:id="rId8" w:type="default"/>
          <w:pgSz w:w="11906" w:h="16838"/>
          <w:pgMar w:top="1440" w:right="1800" w:bottom="1440" w:left="1800" w:header="879" w:footer="1009" w:gutter="0"/>
          <w:pgNumType w:fmt="upperRoman" w:start="1"/>
          <w:cols w:space="2297" w:num="1"/>
          <w:docGrid w:linePitch="299" w:charSpace="0"/>
        </w:sectPr>
      </w:pPr>
      <w:r>
        <w:fldChar w:fldCharType="end"/>
      </w:r>
    </w:p>
    <w:bookmarkEnd w:id="8"/>
    <w:p>
      <w:pPr>
        <w:pStyle w:val="59"/>
        <w:ind w:firstLine="0" w:firstLineChars="0"/>
        <w:jc w:val="center"/>
        <w:rPr>
          <w:rFonts w:ascii="方正小标宋_GBK" w:eastAsia="方正小标宋_GBK"/>
          <w:sz w:val="30"/>
          <w:szCs w:val="30"/>
        </w:rPr>
      </w:pPr>
      <w:bookmarkStart w:id="9" w:name="_Toc1267"/>
      <w:bookmarkStart w:id="10" w:name="_Toc60931126"/>
      <w:r>
        <w:rPr>
          <w:rFonts w:hint="eastAsia" w:ascii="方正小标宋_GBK" w:eastAsia="方正小标宋_GBK"/>
          <w:sz w:val="30"/>
          <w:szCs w:val="30"/>
        </w:rPr>
        <w:t>喀什噶尔河克孜河伽师县贝纳木南岸防洪工程（K162+250～K165+850段）临时用地土地复垦方案报告表</w:t>
      </w:r>
      <w:bookmarkEnd w:id="9"/>
      <w:bookmarkEnd w:id="10"/>
    </w:p>
    <w:tbl>
      <w:tblPr>
        <w:tblStyle w:val="35"/>
        <w:tblW w:w="8283"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7"/>
        <w:gridCol w:w="610"/>
        <w:gridCol w:w="817"/>
        <w:gridCol w:w="896"/>
        <w:gridCol w:w="843"/>
        <w:gridCol w:w="303"/>
        <w:gridCol w:w="742"/>
        <w:gridCol w:w="192"/>
        <w:gridCol w:w="840"/>
        <w:gridCol w:w="298"/>
        <w:gridCol w:w="545"/>
        <w:gridCol w:w="159"/>
        <w:gridCol w:w="12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jc w:val="center"/>
        </w:trPr>
        <w:tc>
          <w:tcPr>
            <w:tcW w:w="827" w:type="dxa"/>
            <w:vMerge w:val="restart"/>
            <w:tcBorders>
              <w:tl2br w:val="nil"/>
              <w:tr2bl w:val="nil"/>
            </w:tcBorders>
            <w:vAlign w:val="center"/>
          </w:tcPr>
          <w:p>
            <w:pPr>
              <w:pStyle w:val="66"/>
            </w:pPr>
            <w:r>
              <w:t>项目概况</w:t>
            </w:r>
          </w:p>
          <w:p>
            <w:pPr>
              <w:pStyle w:val="66"/>
            </w:pPr>
          </w:p>
        </w:tc>
        <w:tc>
          <w:tcPr>
            <w:tcW w:w="1427" w:type="dxa"/>
            <w:gridSpan w:val="2"/>
            <w:tcBorders>
              <w:tl2br w:val="nil"/>
              <w:tr2bl w:val="nil"/>
            </w:tcBorders>
            <w:vAlign w:val="center"/>
          </w:tcPr>
          <w:p>
            <w:pPr>
              <w:pStyle w:val="66"/>
            </w:pPr>
            <w:r>
              <w:t>项目名称</w:t>
            </w:r>
          </w:p>
        </w:tc>
        <w:tc>
          <w:tcPr>
            <w:tcW w:w="6029" w:type="dxa"/>
            <w:gridSpan w:val="10"/>
            <w:tcBorders>
              <w:tl2br w:val="nil"/>
              <w:tr2bl w:val="nil"/>
            </w:tcBorders>
            <w:vAlign w:val="center"/>
          </w:tcPr>
          <w:p>
            <w:pPr>
              <w:pStyle w:val="66"/>
            </w:pPr>
            <w:r>
              <w:rPr>
                <w:rFonts w:hint="eastAsia"/>
              </w:rPr>
              <w:t>喀什噶尔河克孜河伽师县贝纳木南岸防洪工程（K162+250～K165+850段）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项目单位</w:t>
            </w:r>
          </w:p>
        </w:tc>
        <w:tc>
          <w:tcPr>
            <w:tcW w:w="6029" w:type="dxa"/>
            <w:gridSpan w:val="10"/>
            <w:tcBorders>
              <w:tl2br w:val="nil"/>
              <w:tr2bl w:val="nil"/>
            </w:tcBorders>
            <w:vAlign w:val="center"/>
          </w:tcPr>
          <w:p>
            <w:pPr>
              <w:pStyle w:val="66"/>
            </w:pPr>
            <w:r>
              <w:rPr>
                <w:rFonts w:hint="eastAsia"/>
              </w:rPr>
              <w:t>伽师县水管总站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单位地址</w:t>
            </w:r>
          </w:p>
        </w:tc>
        <w:tc>
          <w:tcPr>
            <w:tcW w:w="6029" w:type="dxa"/>
            <w:gridSpan w:val="10"/>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联系人</w:t>
            </w:r>
          </w:p>
        </w:tc>
        <w:tc>
          <w:tcPr>
            <w:tcW w:w="1739"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375" w:type="dxa"/>
            <w:gridSpan w:val="5"/>
            <w:tcBorders>
              <w:tl2br w:val="nil"/>
              <w:tr2bl w:val="nil"/>
            </w:tcBorders>
            <w:vAlign w:val="center"/>
          </w:tcPr>
          <w:p>
            <w:pPr>
              <w:pStyle w:val="66"/>
            </w:pPr>
            <w:r>
              <w:t>联系电话</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企业性质</w:t>
            </w:r>
          </w:p>
        </w:tc>
        <w:tc>
          <w:tcPr>
            <w:tcW w:w="1739" w:type="dxa"/>
            <w:gridSpan w:val="2"/>
            <w:tcBorders>
              <w:tl2br w:val="nil"/>
              <w:tr2bl w:val="nil"/>
            </w:tcBorders>
            <w:vAlign w:val="center"/>
          </w:tcPr>
          <w:p>
            <w:pPr>
              <w:pStyle w:val="66"/>
            </w:pPr>
            <w:r>
              <w:rPr>
                <w:rFonts w:hint="eastAsia"/>
              </w:rPr>
              <w:t>事业单位</w:t>
            </w:r>
          </w:p>
        </w:tc>
        <w:tc>
          <w:tcPr>
            <w:tcW w:w="2375" w:type="dxa"/>
            <w:gridSpan w:val="5"/>
            <w:tcBorders>
              <w:tl2br w:val="nil"/>
              <w:tr2bl w:val="nil"/>
            </w:tcBorders>
            <w:vAlign w:val="center"/>
          </w:tcPr>
          <w:p>
            <w:pPr>
              <w:pStyle w:val="66"/>
            </w:pPr>
            <w:r>
              <w:t>项目性质</w:t>
            </w:r>
          </w:p>
        </w:tc>
        <w:tc>
          <w:tcPr>
            <w:tcW w:w="1915" w:type="dxa"/>
            <w:gridSpan w:val="3"/>
            <w:tcBorders>
              <w:tl2br w:val="nil"/>
              <w:tr2bl w:val="nil"/>
            </w:tcBorders>
            <w:vAlign w:val="center"/>
          </w:tcPr>
          <w:p>
            <w:pPr>
              <w:pStyle w:val="66"/>
            </w:pPr>
            <w:r>
              <w:rPr>
                <w:rFonts w:hint="eastAsia"/>
              </w:rPr>
              <w:t>水利工程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项目位置</w:t>
            </w:r>
          </w:p>
        </w:tc>
        <w:tc>
          <w:tcPr>
            <w:tcW w:w="6029" w:type="dxa"/>
            <w:gridSpan w:val="10"/>
            <w:tcBorders>
              <w:tl2br w:val="nil"/>
              <w:tr2bl w:val="nil"/>
            </w:tcBorders>
            <w:vAlign w:val="center"/>
          </w:tcPr>
          <w:p>
            <w:pPr>
              <w:pStyle w:val="66"/>
            </w:pPr>
            <w:r>
              <w:rPr>
                <w:rFonts w:hint="eastAsia"/>
              </w:rPr>
              <w:t>伽师县西克尔库勒镇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rPr>
                <w:kern w:val="2"/>
              </w:rPr>
            </w:pPr>
            <w:r>
              <w:rPr>
                <w:kern w:val="2"/>
              </w:rPr>
              <w:t>建设内容</w:t>
            </w:r>
          </w:p>
        </w:tc>
        <w:tc>
          <w:tcPr>
            <w:tcW w:w="6029" w:type="dxa"/>
            <w:gridSpan w:val="10"/>
            <w:tcBorders>
              <w:tl2br w:val="nil"/>
              <w:tr2bl w:val="nil"/>
            </w:tcBorders>
            <w:vAlign w:val="center"/>
          </w:tcPr>
          <w:p>
            <w:pPr>
              <w:pStyle w:val="66"/>
              <w:ind w:firstLine="420" w:firstLineChars="200"/>
              <w:jc w:val="both"/>
              <w:rPr>
                <w:color w:val="000000" w:themeColor="text1"/>
                <w:u w:color="000000" w:themeColor="text1"/>
                <w14:textFill>
                  <w14:solidFill>
                    <w14:schemeClr w14:val="tx1"/>
                  </w14:solidFill>
                </w14:textFill>
              </w:rPr>
            </w:pPr>
            <w:r>
              <w:rPr>
                <w:rFonts w:hint="eastAsia"/>
                <w:color w:val="000000" w:themeColor="text1"/>
                <w:u w:color="000000" w:themeColor="text1"/>
                <w14:textFill>
                  <w14:solidFill>
                    <w14:schemeClr w14:val="tx1"/>
                  </w14:solidFill>
                </w14:textFill>
              </w:rPr>
              <w:t>新建防洪堤3.6km（K162+250～K165+850段），配套2座穿堤引水闸及配套附属设施，防洪标准为10年一遇，洪峰流量为346m</w:t>
            </w:r>
            <w:r>
              <w:rPr>
                <w:rFonts w:cs="Calibri"/>
                <w:color w:val="000000" w:themeColor="text1"/>
                <w:u w:color="000000" w:themeColor="text1"/>
                <w14:textFill>
                  <w14:solidFill>
                    <w14:schemeClr w14:val="tx1"/>
                  </w14:solidFill>
                </w14:textFill>
              </w:rPr>
              <w:t>³</w:t>
            </w:r>
            <w:r>
              <w:rPr>
                <w:rFonts w:hint="eastAsia"/>
                <w:color w:val="000000" w:themeColor="text1"/>
                <w:u w:color="000000" w:themeColor="text1"/>
                <w14:textFill>
                  <w14:solidFill>
                    <w14:schemeClr w14:val="tx1"/>
                  </w14:solidFill>
                </w14:textFill>
              </w:rPr>
              <w:t>/s，堤防工程级别为5级，主要建筑物级别为5级，次要建筑物级别为5级。</w:t>
            </w:r>
          </w:p>
          <w:p>
            <w:pPr>
              <w:pStyle w:val="66"/>
              <w:ind w:firstLine="420" w:firstLineChars="200"/>
              <w:jc w:val="both"/>
              <w:rPr>
                <w:kern w:val="2"/>
              </w:rPr>
            </w:pPr>
            <w:r>
              <w:rPr>
                <w:rFonts w:hint="eastAsia"/>
                <w:color w:val="000000" w:themeColor="text1"/>
                <w:u w:color="000000" w:themeColor="text1"/>
                <w14:textFill>
                  <w14:solidFill>
                    <w14:schemeClr w14:val="tx1"/>
                  </w14:solidFill>
                </w14:textFill>
              </w:rPr>
              <w:t>该工程分为主体工程和临时工程两部分，主体工程包括防洪堤工程、穿堤引水闸工程和附属设施等，临时工程包括材料堆场（临时围堰）、材料堆场、施工便道和地下管线敷设作业（施工基坑）等。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投资规模（万元）</w:t>
            </w:r>
          </w:p>
        </w:tc>
        <w:tc>
          <w:tcPr>
            <w:tcW w:w="6029" w:type="dxa"/>
            <w:gridSpan w:val="10"/>
            <w:tcBorders>
              <w:tl2br w:val="nil"/>
              <w:tr2bl w:val="nil"/>
            </w:tcBorders>
            <w:vAlign w:val="center"/>
          </w:tcPr>
          <w:p>
            <w:pPr>
              <w:pStyle w:val="66"/>
            </w:pPr>
            <w:r>
              <w:t>静态投资1577</w:t>
            </w:r>
            <w:r>
              <w:rPr>
                <w:rFonts w:hint="eastAsia"/>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项目区临时用地面积（公顷）</w:t>
            </w:r>
          </w:p>
        </w:tc>
        <w:tc>
          <w:tcPr>
            <w:tcW w:w="6029" w:type="dxa"/>
            <w:gridSpan w:val="10"/>
            <w:tcBorders>
              <w:tl2br w:val="nil"/>
              <w:tr2bl w:val="nil"/>
            </w:tcBorders>
            <w:vAlign w:val="center"/>
          </w:tcPr>
          <w:p>
            <w:pPr>
              <w:pStyle w:val="66"/>
              <w:rPr>
                <w:color w:val="000000" w:themeColor="text1"/>
                <w14:textFill>
                  <w14:solidFill>
                    <w14:schemeClr w14:val="tx1"/>
                  </w14:solidFill>
                </w14:textFill>
              </w:rPr>
            </w:pPr>
            <w:r>
              <w:rPr>
                <w:rFonts w:hint="eastAsia"/>
                <w:color w:val="000000" w:themeColor="text1"/>
                <w14:textFill>
                  <w14:solidFill>
                    <w14:schemeClr w14:val="tx1"/>
                  </w14:solidFill>
                </w14:textFill>
              </w:rPr>
              <w:t>8.2789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复垦投资规模（万元）</w:t>
            </w:r>
          </w:p>
        </w:tc>
        <w:tc>
          <w:tcPr>
            <w:tcW w:w="6029" w:type="dxa"/>
            <w:gridSpan w:val="10"/>
            <w:tcBorders>
              <w:tl2br w:val="nil"/>
              <w:tr2bl w:val="nil"/>
            </w:tcBorders>
            <w:vAlign w:val="center"/>
          </w:tcPr>
          <w:p>
            <w:pPr>
              <w:pStyle w:val="66"/>
            </w:pPr>
            <w:r>
              <w:rPr>
                <w:rFonts w:eastAsia="仿宋_GB2312"/>
              </w:rPr>
              <w:t>84.31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建设期限</w:t>
            </w:r>
          </w:p>
        </w:tc>
        <w:tc>
          <w:tcPr>
            <w:tcW w:w="2042" w:type="dxa"/>
            <w:gridSpan w:val="3"/>
            <w:tcBorders>
              <w:tl2br w:val="nil"/>
              <w:tr2bl w:val="nil"/>
            </w:tcBorders>
            <w:vAlign w:val="center"/>
          </w:tcPr>
          <w:p>
            <w:pPr>
              <w:pStyle w:val="66"/>
            </w:pPr>
            <w:r>
              <w:rPr>
                <w:rFonts w:hint="eastAsia"/>
              </w:rPr>
              <w:t>2026年9月~2026年12月</w:t>
            </w:r>
          </w:p>
        </w:tc>
        <w:tc>
          <w:tcPr>
            <w:tcW w:w="2072" w:type="dxa"/>
            <w:gridSpan w:val="4"/>
            <w:tcBorders>
              <w:tl2br w:val="nil"/>
              <w:tr2bl w:val="nil"/>
            </w:tcBorders>
            <w:vAlign w:val="center"/>
          </w:tcPr>
          <w:p>
            <w:pPr>
              <w:pStyle w:val="66"/>
            </w:pPr>
            <w:r>
              <w:t>土地复垦方案服务年限</w:t>
            </w:r>
          </w:p>
        </w:tc>
        <w:tc>
          <w:tcPr>
            <w:tcW w:w="1915" w:type="dxa"/>
            <w:gridSpan w:val="3"/>
            <w:tcBorders>
              <w:tl2br w:val="nil"/>
              <w:tr2bl w:val="nil"/>
            </w:tcBorders>
            <w:vAlign w:val="center"/>
          </w:tcPr>
          <w:p>
            <w:pPr>
              <w:pStyle w:val="66"/>
            </w:pPr>
            <w:r>
              <w:rPr>
                <w:rFonts w:hint="eastAsia"/>
              </w:rPr>
              <w:t>2026年9月~2030年</w:t>
            </w:r>
            <w:r>
              <w:t>7</w:t>
            </w:r>
            <w:r>
              <w:rPr>
                <w:rFonts w:hint="eastAsia"/>
              </w:rPr>
              <w:t>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827" w:type="dxa"/>
            <w:vMerge w:val="restart"/>
            <w:tcBorders>
              <w:tl2br w:val="nil"/>
              <w:tr2bl w:val="nil"/>
            </w:tcBorders>
            <w:vAlign w:val="center"/>
          </w:tcPr>
          <w:p>
            <w:pPr>
              <w:pStyle w:val="66"/>
            </w:pPr>
            <w:r>
              <w:t>方案编制单位人员情况</w:t>
            </w:r>
          </w:p>
        </w:tc>
        <w:tc>
          <w:tcPr>
            <w:tcW w:w="1427" w:type="dxa"/>
            <w:gridSpan w:val="2"/>
            <w:tcBorders>
              <w:tl2br w:val="nil"/>
              <w:tr2bl w:val="nil"/>
            </w:tcBorders>
            <w:vAlign w:val="center"/>
          </w:tcPr>
          <w:p>
            <w:pPr>
              <w:pStyle w:val="66"/>
            </w:pPr>
            <w:r>
              <w:t>编制单位名称</w:t>
            </w:r>
          </w:p>
        </w:tc>
        <w:tc>
          <w:tcPr>
            <w:tcW w:w="6029" w:type="dxa"/>
            <w:gridSpan w:val="10"/>
            <w:tcBorders>
              <w:tl2br w:val="nil"/>
              <w:tr2bl w:val="nil"/>
            </w:tcBorders>
            <w:vAlign w:val="center"/>
          </w:tcPr>
          <w:p>
            <w:pPr>
              <w:pStyle w:val="66"/>
            </w:pPr>
            <w:r>
              <w:rPr>
                <w:rFonts w:hint="eastAsia"/>
              </w:rPr>
              <w:t>新疆成地汇海勘测规划有限公司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81"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法人代表</w:t>
            </w:r>
          </w:p>
        </w:tc>
        <w:tc>
          <w:tcPr>
            <w:tcW w:w="6029" w:type="dxa"/>
            <w:gridSpan w:val="10"/>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联系人</w:t>
            </w:r>
          </w:p>
        </w:tc>
        <w:tc>
          <w:tcPr>
            <w:tcW w:w="2042"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72" w:type="dxa"/>
            <w:gridSpan w:val="4"/>
            <w:tcBorders>
              <w:tl2br w:val="nil"/>
              <w:tr2bl w:val="nil"/>
            </w:tcBorders>
            <w:vAlign w:val="center"/>
          </w:tcPr>
          <w:p>
            <w:pPr>
              <w:pStyle w:val="66"/>
            </w:pPr>
            <w:r>
              <w:t>联系电话</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资质证书名称</w:t>
            </w:r>
          </w:p>
        </w:tc>
        <w:tc>
          <w:tcPr>
            <w:tcW w:w="2042" w:type="dxa"/>
            <w:gridSpan w:val="3"/>
            <w:tcBorders>
              <w:tl2br w:val="nil"/>
              <w:tr2bl w:val="nil"/>
            </w:tcBorders>
            <w:vAlign w:val="center"/>
          </w:tcPr>
          <w:p>
            <w:pPr>
              <w:pStyle w:val="66"/>
            </w:pPr>
            <w:r>
              <w:rPr>
                <w:rFonts w:hint="eastAsia"/>
              </w:rPr>
              <w:t>土地规划资质</w:t>
            </w:r>
          </w:p>
        </w:tc>
        <w:tc>
          <w:tcPr>
            <w:tcW w:w="2072" w:type="dxa"/>
            <w:gridSpan w:val="4"/>
            <w:tcBorders>
              <w:tl2br w:val="nil"/>
              <w:tr2bl w:val="nil"/>
            </w:tcBorders>
            <w:vAlign w:val="center"/>
          </w:tcPr>
          <w:p>
            <w:pPr>
              <w:pStyle w:val="66"/>
            </w:pPr>
            <w:r>
              <w:t>资质等级</w:t>
            </w:r>
          </w:p>
        </w:tc>
        <w:tc>
          <w:tcPr>
            <w:tcW w:w="1915" w:type="dxa"/>
            <w:gridSpan w:val="3"/>
            <w:tcBorders>
              <w:tl2br w:val="nil"/>
              <w:tr2bl w:val="nil"/>
            </w:tcBorders>
            <w:vAlign w:val="center"/>
          </w:tcPr>
          <w:p>
            <w:pPr>
              <w:pStyle w:val="66"/>
            </w:pPr>
            <w:r>
              <w:rPr>
                <w:rFonts w:hint="eastAsia"/>
              </w:rPr>
              <w:t>丙</w:t>
            </w:r>
            <w:r>
              <w:t>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发证机关</w:t>
            </w:r>
          </w:p>
        </w:tc>
        <w:tc>
          <w:tcPr>
            <w:tcW w:w="2042" w:type="dxa"/>
            <w:gridSpan w:val="3"/>
            <w:tcBorders>
              <w:tl2br w:val="nil"/>
              <w:tr2bl w:val="nil"/>
            </w:tcBorders>
            <w:vAlign w:val="center"/>
          </w:tcPr>
          <w:p>
            <w:pPr>
              <w:pStyle w:val="66"/>
            </w:pPr>
            <w:r>
              <w:t>新疆维吾尔自治区</w:t>
            </w:r>
            <w:r>
              <w:rPr>
                <w:rFonts w:hint="eastAsia"/>
              </w:rPr>
              <w:t>土地学会</w:t>
            </w:r>
          </w:p>
        </w:tc>
        <w:tc>
          <w:tcPr>
            <w:tcW w:w="2072" w:type="dxa"/>
            <w:gridSpan w:val="4"/>
            <w:tcBorders>
              <w:tl2br w:val="nil"/>
              <w:tr2bl w:val="nil"/>
            </w:tcBorders>
            <w:vAlign w:val="center"/>
          </w:tcPr>
          <w:p>
            <w:pPr>
              <w:pStyle w:val="66"/>
            </w:pPr>
            <w:r>
              <w:t>编号</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单位地址</w:t>
            </w:r>
          </w:p>
        </w:tc>
        <w:tc>
          <w:tcPr>
            <w:tcW w:w="6029" w:type="dxa"/>
            <w:gridSpan w:val="10"/>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827" w:type="dxa"/>
            <w:vMerge w:val="continue"/>
            <w:tcBorders>
              <w:tl2br w:val="nil"/>
              <w:tr2bl w:val="nil"/>
            </w:tcBorders>
            <w:vAlign w:val="center"/>
          </w:tcPr>
          <w:p>
            <w:pPr>
              <w:pStyle w:val="66"/>
            </w:pPr>
          </w:p>
        </w:tc>
        <w:tc>
          <w:tcPr>
            <w:tcW w:w="7456" w:type="dxa"/>
            <w:gridSpan w:val="12"/>
            <w:tcBorders>
              <w:tl2br w:val="nil"/>
              <w:tr2bl w:val="nil"/>
            </w:tcBorders>
            <w:vAlign w:val="center"/>
          </w:tcPr>
          <w:p>
            <w:pPr>
              <w:pStyle w:val="66"/>
            </w:pPr>
            <w:r>
              <w:t>主要编制人员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姓名</w:t>
            </w:r>
          </w:p>
        </w:tc>
        <w:tc>
          <w:tcPr>
            <w:tcW w:w="2042" w:type="dxa"/>
            <w:gridSpan w:val="3"/>
            <w:tcBorders>
              <w:tl2br w:val="nil"/>
              <w:tr2bl w:val="nil"/>
            </w:tcBorders>
            <w:vAlign w:val="center"/>
          </w:tcPr>
          <w:p>
            <w:pPr>
              <w:pStyle w:val="66"/>
            </w:pPr>
            <w:r>
              <w:t>职务/职称</w:t>
            </w:r>
          </w:p>
        </w:tc>
        <w:tc>
          <w:tcPr>
            <w:tcW w:w="2072" w:type="dxa"/>
            <w:gridSpan w:val="4"/>
            <w:tcBorders>
              <w:tl2br w:val="nil"/>
              <w:tr2bl w:val="nil"/>
            </w:tcBorders>
            <w:vAlign w:val="center"/>
          </w:tcPr>
          <w:p>
            <w:pPr>
              <w:pStyle w:val="66"/>
            </w:pPr>
            <w:r>
              <w:t>单位</w:t>
            </w:r>
          </w:p>
        </w:tc>
        <w:tc>
          <w:tcPr>
            <w:tcW w:w="1915" w:type="dxa"/>
            <w:gridSpan w:val="3"/>
            <w:tcBorders>
              <w:tl2br w:val="nil"/>
              <w:tr2bl w:val="nil"/>
            </w:tcBorders>
            <w:vAlign w:val="center"/>
          </w:tcPr>
          <w:p>
            <w:pPr>
              <w:pStyle w:val="66"/>
            </w:pPr>
            <w:r>
              <w:t>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42" w:type="dxa"/>
            <w:gridSpan w:val="3"/>
            <w:tcBorders>
              <w:tl2br w:val="nil"/>
              <w:tr2bl w:val="nil"/>
            </w:tcBorders>
            <w:vAlign w:val="center"/>
          </w:tcPr>
          <w:p>
            <w:pPr>
              <w:pStyle w:val="66"/>
            </w:pPr>
            <w:r>
              <w:rPr>
                <w:rFonts w:hint="eastAsia"/>
              </w:rPr>
              <w:t>中级</w:t>
            </w:r>
            <w:r>
              <w:t>工程师</w:t>
            </w:r>
          </w:p>
        </w:tc>
        <w:tc>
          <w:tcPr>
            <w:tcW w:w="2072" w:type="dxa"/>
            <w:gridSpan w:val="4"/>
            <w:tcBorders>
              <w:tl2br w:val="nil"/>
              <w:tr2bl w:val="nil"/>
            </w:tcBorders>
            <w:vAlign w:val="center"/>
          </w:tcPr>
          <w:p>
            <w:pPr>
              <w:pStyle w:val="66"/>
            </w:pPr>
            <w:r>
              <w:rPr>
                <w:rFonts w:hint="eastAsia"/>
              </w:rPr>
              <w:t>新疆成地汇海勘测规划有限公司</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42" w:type="dxa"/>
            <w:gridSpan w:val="3"/>
            <w:tcBorders>
              <w:tl2br w:val="nil"/>
              <w:tr2bl w:val="nil"/>
            </w:tcBorders>
            <w:vAlign w:val="center"/>
          </w:tcPr>
          <w:p>
            <w:pPr>
              <w:pStyle w:val="66"/>
            </w:pPr>
            <w:r>
              <w:rPr>
                <w:rFonts w:hint="eastAsia"/>
              </w:rPr>
              <w:t>中级</w:t>
            </w:r>
            <w:r>
              <w:t>工程师</w:t>
            </w:r>
          </w:p>
        </w:tc>
        <w:tc>
          <w:tcPr>
            <w:tcW w:w="2072" w:type="dxa"/>
            <w:gridSpan w:val="4"/>
            <w:tcBorders>
              <w:tl2br w:val="nil"/>
              <w:tr2bl w:val="nil"/>
            </w:tcBorders>
            <w:vAlign w:val="center"/>
          </w:tcPr>
          <w:p>
            <w:pPr>
              <w:pStyle w:val="66"/>
            </w:pPr>
            <w:r>
              <w:rPr>
                <w:rFonts w:hint="eastAsia"/>
              </w:rPr>
              <w:t>新疆成地汇海勘测规划有限公司</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42" w:type="dxa"/>
            <w:gridSpan w:val="3"/>
            <w:tcBorders>
              <w:tl2br w:val="nil"/>
              <w:tr2bl w:val="nil"/>
            </w:tcBorders>
            <w:vAlign w:val="center"/>
          </w:tcPr>
          <w:p>
            <w:pPr>
              <w:pStyle w:val="66"/>
            </w:pPr>
            <w:r>
              <w:rPr>
                <w:rFonts w:hint="eastAsia"/>
              </w:rPr>
              <w:t>中级</w:t>
            </w:r>
            <w:r>
              <w:t>工程师</w:t>
            </w:r>
          </w:p>
        </w:tc>
        <w:tc>
          <w:tcPr>
            <w:tcW w:w="2072" w:type="dxa"/>
            <w:gridSpan w:val="4"/>
            <w:tcBorders>
              <w:tl2br w:val="nil"/>
              <w:tr2bl w:val="nil"/>
            </w:tcBorders>
            <w:vAlign w:val="center"/>
          </w:tcPr>
          <w:p>
            <w:pPr>
              <w:pStyle w:val="66"/>
            </w:pPr>
            <w:r>
              <w:rPr>
                <w:rFonts w:hint="eastAsia"/>
              </w:rPr>
              <w:t>新疆成地汇海勘测规划有限公司</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42" w:type="dxa"/>
            <w:gridSpan w:val="3"/>
            <w:tcBorders>
              <w:tl2br w:val="nil"/>
              <w:tr2bl w:val="nil"/>
            </w:tcBorders>
            <w:vAlign w:val="center"/>
          </w:tcPr>
          <w:p>
            <w:pPr>
              <w:pStyle w:val="66"/>
            </w:pPr>
            <w:r>
              <w:rPr>
                <w:rFonts w:hint="eastAsia"/>
              </w:rPr>
              <w:t>中级</w:t>
            </w:r>
            <w:r>
              <w:t>工程师</w:t>
            </w:r>
          </w:p>
        </w:tc>
        <w:tc>
          <w:tcPr>
            <w:tcW w:w="2072" w:type="dxa"/>
            <w:gridSpan w:val="4"/>
            <w:tcBorders>
              <w:tl2br w:val="nil"/>
              <w:tr2bl w:val="nil"/>
            </w:tcBorders>
            <w:vAlign w:val="center"/>
          </w:tcPr>
          <w:p>
            <w:pPr>
              <w:pStyle w:val="66"/>
            </w:pPr>
            <w:r>
              <w:rPr>
                <w:rFonts w:hint="eastAsia"/>
              </w:rPr>
              <w:t>新疆成地汇海勘测规划有限公司</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color w:val="000000" w:themeColor="text1"/>
                <w:sz w:val="24"/>
                <w:szCs w:val="24"/>
                <w14:textFill>
                  <w14:solidFill>
                    <w14:schemeClr w14:val="tx1"/>
                  </w14:solidFill>
                </w14:textFill>
              </w:rPr>
              <w:t>*****</w:t>
            </w:r>
          </w:p>
        </w:tc>
        <w:tc>
          <w:tcPr>
            <w:tcW w:w="2042" w:type="dxa"/>
            <w:gridSpan w:val="3"/>
            <w:tcBorders>
              <w:tl2br w:val="nil"/>
              <w:tr2bl w:val="nil"/>
            </w:tcBorders>
            <w:vAlign w:val="center"/>
          </w:tcPr>
          <w:p>
            <w:pPr>
              <w:pStyle w:val="66"/>
            </w:pPr>
            <w:r>
              <w:rPr>
                <w:rFonts w:hint="eastAsia"/>
              </w:rPr>
              <w:t>助理</w:t>
            </w:r>
            <w:r>
              <w:t>工程师</w:t>
            </w:r>
          </w:p>
        </w:tc>
        <w:tc>
          <w:tcPr>
            <w:tcW w:w="2072" w:type="dxa"/>
            <w:gridSpan w:val="4"/>
            <w:tcBorders>
              <w:tl2br w:val="nil"/>
              <w:tr2bl w:val="nil"/>
            </w:tcBorders>
            <w:vAlign w:val="center"/>
          </w:tcPr>
          <w:p>
            <w:pPr>
              <w:pStyle w:val="66"/>
            </w:pPr>
            <w:r>
              <w:rPr>
                <w:rFonts w:hint="eastAsia"/>
              </w:rPr>
              <w:t>新疆成地汇海勘测规划有限公司</w:t>
            </w:r>
          </w:p>
        </w:tc>
        <w:tc>
          <w:tcPr>
            <w:tcW w:w="1915" w:type="dxa"/>
            <w:gridSpan w:val="3"/>
            <w:tcBorders>
              <w:tl2br w:val="nil"/>
              <w:tr2bl w:val="nil"/>
            </w:tcBorders>
            <w:vAlign w:val="center"/>
          </w:tcPr>
          <w:p>
            <w:pPr>
              <w:pStyle w:val="66"/>
            </w:pPr>
            <w:r>
              <w:rPr>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restart"/>
            <w:tcBorders>
              <w:tl2br w:val="nil"/>
              <w:tr2bl w:val="nil"/>
            </w:tcBorders>
            <w:vAlign w:val="center"/>
          </w:tcPr>
          <w:p>
            <w:pPr>
              <w:pStyle w:val="66"/>
            </w:pPr>
            <w:r>
              <w:t>复垦区土地利用现状</w:t>
            </w:r>
          </w:p>
        </w:tc>
        <w:tc>
          <w:tcPr>
            <w:tcW w:w="3469" w:type="dxa"/>
            <w:gridSpan w:val="5"/>
            <w:tcBorders>
              <w:tl2br w:val="nil"/>
              <w:tr2bl w:val="nil"/>
            </w:tcBorders>
            <w:vAlign w:val="center"/>
          </w:tcPr>
          <w:p>
            <w:pPr>
              <w:pStyle w:val="66"/>
            </w:pPr>
            <w:r>
              <w:t>土地类型</w:t>
            </w:r>
          </w:p>
        </w:tc>
        <w:tc>
          <w:tcPr>
            <w:tcW w:w="3987" w:type="dxa"/>
            <w:gridSpan w:val="7"/>
            <w:tcBorders>
              <w:tl2br w:val="nil"/>
              <w:tr2bl w:val="nil"/>
            </w:tcBorders>
            <w:vAlign w:val="center"/>
          </w:tcPr>
          <w:p>
            <w:pPr>
              <w:pStyle w:val="66"/>
            </w:pPr>
            <w:r>
              <w:t>面积（hm²）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一级地类</w:t>
            </w:r>
          </w:p>
        </w:tc>
        <w:tc>
          <w:tcPr>
            <w:tcW w:w="2042" w:type="dxa"/>
            <w:gridSpan w:val="3"/>
            <w:tcBorders>
              <w:tl2br w:val="nil"/>
              <w:tr2bl w:val="nil"/>
            </w:tcBorders>
            <w:vAlign w:val="center"/>
          </w:tcPr>
          <w:p>
            <w:pPr>
              <w:pStyle w:val="66"/>
            </w:pPr>
            <w:r>
              <w:t>二级地类</w:t>
            </w:r>
          </w:p>
        </w:tc>
        <w:tc>
          <w:tcPr>
            <w:tcW w:w="934" w:type="dxa"/>
            <w:gridSpan w:val="2"/>
            <w:tcBorders>
              <w:tl2br w:val="nil"/>
              <w:tr2bl w:val="nil"/>
            </w:tcBorders>
            <w:vAlign w:val="center"/>
          </w:tcPr>
          <w:p>
            <w:pPr>
              <w:pStyle w:val="66"/>
            </w:pPr>
            <w:r>
              <w:t>小计</w:t>
            </w:r>
          </w:p>
        </w:tc>
        <w:tc>
          <w:tcPr>
            <w:tcW w:w="840" w:type="dxa"/>
            <w:tcBorders>
              <w:tl2br w:val="nil"/>
              <w:tr2bl w:val="nil"/>
            </w:tcBorders>
            <w:vAlign w:val="center"/>
          </w:tcPr>
          <w:p>
            <w:pPr>
              <w:pStyle w:val="66"/>
            </w:pPr>
            <w:r>
              <w:t>已损毁</w:t>
            </w:r>
          </w:p>
        </w:tc>
        <w:tc>
          <w:tcPr>
            <w:tcW w:w="1002" w:type="dxa"/>
            <w:gridSpan w:val="3"/>
            <w:tcBorders>
              <w:tl2br w:val="nil"/>
              <w:tr2bl w:val="nil"/>
            </w:tcBorders>
            <w:vAlign w:val="center"/>
          </w:tcPr>
          <w:p>
            <w:pPr>
              <w:pStyle w:val="66"/>
            </w:pPr>
            <w:r>
              <w:t>拟损毁</w:t>
            </w:r>
          </w:p>
        </w:tc>
        <w:tc>
          <w:tcPr>
            <w:tcW w:w="1211" w:type="dxa"/>
            <w:tcBorders>
              <w:tl2br w:val="nil"/>
              <w:tr2bl w:val="nil"/>
            </w:tcBorders>
            <w:vAlign w:val="center"/>
          </w:tcPr>
          <w:p>
            <w:pPr>
              <w:pStyle w:val="66"/>
            </w:pPr>
            <w:r>
              <w:t>永久占用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林地</w:t>
            </w:r>
          </w:p>
        </w:tc>
        <w:tc>
          <w:tcPr>
            <w:tcW w:w="2042" w:type="dxa"/>
            <w:gridSpan w:val="3"/>
            <w:tcBorders>
              <w:tl2br w:val="nil"/>
              <w:tr2bl w:val="nil"/>
            </w:tcBorders>
            <w:vAlign w:val="center"/>
          </w:tcPr>
          <w:p>
            <w:pPr>
              <w:pStyle w:val="66"/>
            </w:pPr>
            <w:r>
              <w:rPr>
                <w:rFonts w:hint="eastAsia"/>
              </w:rPr>
              <w:t>灌木林地</w:t>
            </w:r>
          </w:p>
        </w:tc>
        <w:tc>
          <w:tcPr>
            <w:tcW w:w="934" w:type="dxa"/>
            <w:gridSpan w:val="2"/>
            <w:tcBorders>
              <w:tl2br w:val="nil"/>
              <w:tr2bl w:val="nil"/>
            </w:tcBorders>
            <w:vAlign w:val="center"/>
          </w:tcPr>
          <w:p>
            <w:pPr>
              <w:pStyle w:val="66"/>
            </w:pPr>
            <w:r>
              <w:t>9.8513</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4.2632</w:t>
            </w:r>
          </w:p>
        </w:tc>
        <w:tc>
          <w:tcPr>
            <w:tcW w:w="1211" w:type="dxa"/>
            <w:tcBorders>
              <w:tl2br w:val="nil"/>
              <w:tr2bl w:val="nil"/>
            </w:tcBorders>
            <w:vAlign w:val="center"/>
          </w:tcPr>
          <w:p>
            <w:pPr>
              <w:pStyle w:val="66"/>
            </w:pPr>
            <w:r>
              <w:t>5.5881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草地</w:t>
            </w:r>
          </w:p>
        </w:tc>
        <w:tc>
          <w:tcPr>
            <w:tcW w:w="2042" w:type="dxa"/>
            <w:gridSpan w:val="3"/>
            <w:tcBorders>
              <w:tl2br w:val="nil"/>
              <w:tr2bl w:val="nil"/>
            </w:tcBorders>
            <w:vAlign w:val="center"/>
          </w:tcPr>
          <w:p>
            <w:pPr>
              <w:pStyle w:val="66"/>
            </w:pPr>
            <w:r>
              <w:rPr>
                <w:rFonts w:hint="eastAsia"/>
              </w:rPr>
              <w:t>其他草地</w:t>
            </w:r>
          </w:p>
        </w:tc>
        <w:tc>
          <w:tcPr>
            <w:tcW w:w="934" w:type="dxa"/>
            <w:gridSpan w:val="2"/>
            <w:tcBorders>
              <w:tl2br w:val="nil"/>
              <w:tr2bl w:val="nil"/>
            </w:tcBorders>
            <w:vAlign w:val="center"/>
          </w:tcPr>
          <w:p>
            <w:pPr>
              <w:pStyle w:val="66"/>
            </w:pPr>
            <w:r>
              <w:t>0.0268</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0.0139</w:t>
            </w:r>
          </w:p>
        </w:tc>
        <w:tc>
          <w:tcPr>
            <w:tcW w:w="1211" w:type="dxa"/>
            <w:tcBorders>
              <w:tl2br w:val="nil"/>
              <w:tr2bl w:val="nil"/>
            </w:tcBorders>
            <w:vAlign w:val="center"/>
          </w:tcPr>
          <w:p>
            <w:pPr>
              <w:pStyle w:val="66"/>
            </w:pPr>
            <w:r>
              <w:t>0.0129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vMerge w:val="restart"/>
            <w:tcBorders>
              <w:tl2br w:val="nil"/>
              <w:tr2bl w:val="nil"/>
            </w:tcBorders>
            <w:vAlign w:val="center"/>
          </w:tcPr>
          <w:p>
            <w:pPr>
              <w:pStyle w:val="66"/>
            </w:pPr>
            <w:r>
              <w:rPr>
                <w:rFonts w:hint="eastAsia"/>
              </w:rPr>
              <w:t>交通运输用地</w:t>
            </w:r>
          </w:p>
        </w:tc>
        <w:tc>
          <w:tcPr>
            <w:tcW w:w="2042" w:type="dxa"/>
            <w:gridSpan w:val="3"/>
            <w:tcBorders>
              <w:tl2br w:val="nil"/>
              <w:tr2bl w:val="nil"/>
            </w:tcBorders>
            <w:vAlign w:val="center"/>
          </w:tcPr>
          <w:p>
            <w:pPr>
              <w:pStyle w:val="66"/>
            </w:pPr>
            <w:r>
              <w:rPr>
                <w:rFonts w:hint="eastAsia"/>
              </w:rPr>
              <w:t>公路用地</w:t>
            </w:r>
          </w:p>
        </w:tc>
        <w:tc>
          <w:tcPr>
            <w:tcW w:w="934" w:type="dxa"/>
            <w:gridSpan w:val="2"/>
            <w:tcBorders>
              <w:tl2br w:val="nil"/>
              <w:tr2bl w:val="nil"/>
            </w:tcBorders>
            <w:vAlign w:val="center"/>
          </w:tcPr>
          <w:p>
            <w:pPr>
              <w:pStyle w:val="66"/>
            </w:pPr>
            <w:r>
              <w:t>0.0135</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0</w:t>
            </w:r>
          </w:p>
        </w:tc>
        <w:tc>
          <w:tcPr>
            <w:tcW w:w="1211" w:type="dxa"/>
            <w:tcBorders>
              <w:tl2br w:val="nil"/>
              <w:tr2bl w:val="nil"/>
            </w:tcBorders>
            <w:vAlign w:val="center"/>
          </w:tcPr>
          <w:p>
            <w:pPr>
              <w:pStyle w:val="66"/>
            </w:pPr>
            <w:r>
              <w:t>0.0137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2042" w:type="dxa"/>
            <w:gridSpan w:val="3"/>
            <w:tcBorders>
              <w:tl2br w:val="nil"/>
              <w:tr2bl w:val="nil"/>
            </w:tcBorders>
            <w:vAlign w:val="center"/>
          </w:tcPr>
          <w:p>
            <w:pPr>
              <w:pStyle w:val="66"/>
            </w:pPr>
            <w:r>
              <w:rPr>
                <w:rFonts w:hint="eastAsia"/>
              </w:rPr>
              <w:t>农村道路</w:t>
            </w:r>
          </w:p>
        </w:tc>
        <w:tc>
          <w:tcPr>
            <w:tcW w:w="934" w:type="dxa"/>
            <w:gridSpan w:val="2"/>
            <w:tcBorders>
              <w:tl2br w:val="nil"/>
              <w:tr2bl w:val="nil"/>
            </w:tcBorders>
            <w:vAlign w:val="center"/>
          </w:tcPr>
          <w:p>
            <w:pPr>
              <w:pStyle w:val="66"/>
            </w:pPr>
            <w:r>
              <w:t>2.4299</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0.8681</w:t>
            </w:r>
          </w:p>
        </w:tc>
        <w:tc>
          <w:tcPr>
            <w:tcW w:w="1211" w:type="dxa"/>
            <w:tcBorders>
              <w:tl2br w:val="nil"/>
              <w:tr2bl w:val="nil"/>
            </w:tcBorders>
            <w:vAlign w:val="center"/>
          </w:tcPr>
          <w:p>
            <w:pPr>
              <w:pStyle w:val="66"/>
            </w:pPr>
            <w:r>
              <w:t>1.5610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5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水域及水利设施用地</w:t>
            </w:r>
          </w:p>
        </w:tc>
        <w:tc>
          <w:tcPr>
            <w:tcW w:w="2042" w:type="dxa"/>
            <w:gridSpan w:val="3"/>
            <w:tcBorders>
              <w:tl2br w:val="nil"/>
              <w:tr2bl w:val="nil"/>
            </w:tcBorders>
            <w:vAlign w:val="center"/>
          </w:tcPr>
          <w:p>
            <w:pPr>
              <w:pStyle w:val="66"/>
            </w:pPr>
            <w:r>
              <w:t>沟渠</w:t>
            </w:r>
          </w:p>
        </w:tc>
        <w:tc>
          <w:tcPr>
            <w:tcW w:w="934" w:type="dxa"/>
            <w:gridSpan w:val="2"/>
            <w:tcBorders>
              <w:tl2br w:val="nil"/>
              <w:tr2bl w:val="nil"/>
            </w:tcBorders>
            <w:vAlign w:val="center"/>
          </w:tcPr>
          <w:p>
            <w:pPr>
              <w:pStyle w:val="66"/>
            </w:pPr>
            <w:r>
              <w:t>3.0244</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2.7509</w:t>
            </w:r>
          </w:p>
        </w:tc>
        <w:tc>
          <w:tcPr>
            <w:tcW w:w="1211" w:type="dxa"/>
            <w:tcBorders>
              <w:tl2br w:val="nil"/>
              <w:tr2bl w:val="nil"/>
            </w:tcBorders>
            <w:vAlign w:val="center"/>
          </w:tcPr>
          <w:p>
            <w:pPr>
              <w:pStyle w:val="66"/>
            </w:pPr>
            <w:r>
              <w:t>0.2734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其他耕地</w:t>
            </w:r>
          </w:p>
        </w:tc>
        <w:tc>
          <w:tcPr>
            <w:tcW w:w="2042" w:type="dxa"/>
            <w:gridSpan w:val="3"/>
            <w:tcBorders>
              <w:tl2br w:val="nil"/>
              <w:tr2bl w:val="nil"/>
            </w:tcBorders>
            <w:vAlign w:val="center"/>
          </w:tcPr>
          <w:p>
            <w:pPr>
              <w:pStyle w:val="66"/>
            </w:pPr>
            <w:r>
              <w:rPr>
                <w:rFonts w:hint="eastAsia"/>
              </w:rPr>
              <w:t>后备耕地</w:t>
            </w:r>
          </w:p>
        </w:tc>
        <w:tc>
          <w:tcPr>
            <w:tcW w:w="934" w:type="dxa"/>
            <w:gridSpan w:val="2"/>
            <w:tcBorders>
              <w:tl2br w:val="nil"/>
              <w:tr2bl w:val="nil"/>
            </w:tcBorders>
            <w:vAlign w:val="center"/>
          </w:tcPr>
          <w:p>
            <w:pPr>
              <w:pStyle w:val="66"/>
            </w:pPr>
            <w:r>
              <w:t>0.3828</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0.3828</w:t>
            </w:r>
          </w:p>
        </w:tc>
        <w:tc>
          <w:tcPr>
            <w:tcW w:w="1211" w:type="dxa"/>
            <w:tcBorders>
              <w:tl2br w:val="nil"/>
              <w:tr2bl w:val="nil"/>
            </w:tcBorders>
            <w:vAlign w:val="center"/>
          </w:tcPr>
          <w:p>
            <w:pPr>
              <w:pStyle w:val="66"/>
            </w:pPr>
            <w:r>
              <w:rPr>
                <w:rFonts w:hint="eastAsia"/>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827" w:type="dxa"/>
            <w:vMerge w:val="continue"/>
            <w:tcBorders>
              <w:tl2br w:val="nil"/>
              <w:tr2bl w:val="nil"/>
            </w:tcBorders>
            <w:vAlign w:val="center"/>
          </w:tcPr>
          <w:p>
            <w:pPr>
              <w:pStyle w:val="66"/>
            </w:pPr>
          </w:p>
        </w:tc>
        <w:tc>
          <w:tcPr>
            <w:tcW w:w="3469" w:type="dxa"/>
            <w:gridSpan w:val="5"/>
            <w:tcBorders>
              <w:tl2br w:val="nil"/>
              <w:tr2bl w:val="nil"/>
            </w:tcBorders>
            <w:vAlign w:val="center"/>
          </w:tcPr>
          <w:p>
            <w:pPr>
              <w:pStyle w:val="66"/>
            </w:pPr>
            <w:r>
              <w:t>合计</w:t>
            </w:r>
          </w:p>
        </w:tc>
        <w:tc>
          <w:tcPr>
            <w:tcW w:w="934" w:type="dxa"/>
            <w:gridSpan w:val="2"/>
            <w:tcBorders>
              <w:tl2br w:val="nil"/>
              <w:tr2bl w:val="nil"/>
            </w:tcBorders>
            <w:vAlign w:val="center"/>
          </w:tcPr>
          <w:p>
            <w:pPr>
              <w:pStyle w:val="66"/>
            </w:pPr>
            <w:r>
              <w:t>15.7280</w:t>
            </w:r>
          </w:p>
        </w:tc>
        <w:tc>
          <w:tcPr>
            <w:tcW w:w="840" w:type="dxa"/>
            <w:tcBorders>
              <w:tl2br w:val="nil"/>
              <w:tr2bl w:val="nil"/>
            </w:tcBorders>
            <w:vAlign w:val="center"/>
          </w:tcPr>
          <w:p>
            <w:pPr>
              <w:pStyle w:val="66"/>
            </w:pPr>
          </w:p>
        </w:tc>
        <w:tc>
          <w:tcPr>
            <w:tcW w:w="1002" w:type="dxa"/>
            <w:gridSpan w:val="3"/>
            <w:tcBorders>
              <w:tl2br w:val="nil"/>
              <w:tr2bl w:val="nil"/>
            </w:tcBorders>
            <w:vAlign w:val="center"/>
          </w:tcPr>
          <w:p>
            <w:pPr>
              <w:pStyle w:val="66"/>
            </w:pPr>
            <w:r>
              <w:t>8.2789</w:t>
            </w:r>
          </w:p>
        </w:tc>
        <w:tc>
          <w:tcPr>
            <w:tcW w:w="1211" w:type="dxa"/>
            <w:tcBorders>
              <w:tl2br w:val="nil"/>
              <w:tr2bl w:val="nil"/>
            </w:tcBorders>
            <w:vAlign w:val="center"/>
          </w:tcPr>
          <w:p>
            <w:pPr>
              <w:pStyle w:val="66"/>
            </w:pPr>
            <w:r>
              <w:t>7.4491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restart"/>
            <w:tcBorders>
              <w:tl2br w:val="nil"/>
              <w:tr2bl w:val="nil"/>
            </w:tcBorders>
            <w:vAlign w:val="center"/>
          </w:tcPr>
          <w:p>
            <w:pPr>
              <w:pStyle w:val="66"/>
            </w:pPr>
            <w:r>
              <w:t>复垦责任范围内土地损毁及占用情况</w:t>
            </w:r>
          </w:p>
        </w:tc>
        <w:tc>
          <w:tcPr>
            <w:tcW w:w="1427" w:type="dxa"/>
            <w:gridSpan w:val="2"/>
            <w:vMerge w:val="restart"/>
            <w:tcBorders>
              <w:tl2br w:val="nil"/>
              <w:tr2bl w:val="nil"/>
            </w:tcBorders>
            <w:vAlign w:val="center"/>
          </w:tcPr>
          <w:p>
            <w:pPr>
              <w:pStyle w:val="66"/>
            </w:pPr>
            <w:r>
              <w:t>类型</w:t>
            </w:r>
          </w:p>
        </w:tc>
        <w:tc>
          <w:tcPr>
            <w:tcW w:w="2976" w:type="dxa"/>
            <w:gridSpan w:val="5"/>
            <w:tcBorders>
              <w:tl2br w:val="nil"/>
              <w:tr2bl w:val="nil"/>
            </w:tcBorders>
            <w:vAlign w:val="center"/>
          </w:tcPr>
          <w:p>
            <w:pPr>
              <w:pStyle w:val="66"/>
            </w:pPr>
            <w:r>
              <w:t>面积（hm²）</w:t>
            </w:r>
          </w:p>
        </w:tc>
        <w:tc>
          <w:tcPr>
            <w:tcW w:w="3053" w:type="dxa"/>
            <w:gridSpan w:val="5"/>
            <w:tcBorders>
              <w:tl2br w:val="nil"/>
              <w:tr2bl w:val="nil"/>
            </w:tcBorders>
            <w:vAlign w:val="center"/>
          </w:tcPr>
          <w:p>
            <w:pPr>
              <w:pStyle w:val="66"/>
            </w:pPr>
            <w:r>
              <w:t>其中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54"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2042" w:type="dxa"/>
            <w:gridSpan w:val="3"/>
            <w:tcBorders>
              <w:tl2br w:val="nil"/>
              <w:tr2bl w:val="nil"/>
            </w:tcBorders>
            <w:vAlign w:val="center"/>
          </w:tcPr>
          <w:p>
            <w:pPr>
              <w:pStyle w:val="66"/>
            </w:pPr>
            <w:r>
              <w:t>合计</w:t>
            </w:r>
          </w:p>
        </w:tc>
        <w:tc>
          <w:tcPr>
            <w:tcW w:w="2072" w:type="dxa"/>
            <w:gridSpan w:val="4"/>
            <w:tcBorders>
              <w:tl2br w:val="nil"/>
              <w:tr2bl w:val="nil"/>
            </w:tcBorders>
            <w:vAlign w:val="center"/>
          </w:tcPr>
          <w:p>
            <w:pPr>
              <w:pStyle w:val="66"/>
            </w:pPr>
            <w:r>
              <w:t>已损毁（hm²）</w:t>
            </w:r>
          </w:p>
        </w:tc>
        <w:tc>
          <w:tcPr>
            <w:tcW w:w="1915" w:type="dxa"/>
            <w:gridSpan w:val="3"/>
            <w:tcBorders>
              <w:tl2br w:val="nil"/>
              <w:tr2bl w:val="nil"/>
            </w:tcBorders>
            <w:vAlign w:val="center"/>
          </w:tcPr>
          <w:p>
            <w:pPr>
              <w:pStyle w:val="66"/>
            </w:pPr>
            <w:r>
              <w:t>拟损毁hm²）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827" w:type="dxa"/>
            <w:vMerge w:val="continue"/>
            <w:tcBorders>
              <w:tl2br w:val="nil"/>
              <w:tr2bl w:val="nil"/>
            </w:tcBorders>
            <w:vAlign w:val="center"/>
          </w:tcPr>
          <w:p>
            <w:pPr>
              <w:pStyle w:val="66"/>
            </w:pPr>
          </w:p>
        </w:tc>
        <w:tc>
          <w:tcPr>
            <w:tcW w:w="610" w:type="dxa"/>
            <w:tcBorders>
              <w:tl2br w:val="nil"/>
              <w:tr2bl w:val="nil"/>
            </w:tcBorders>
            <w:vAlign w:val="center"/>
          </w:tcPr>
          <w:p>
            <w:pPr>
              <w:pStyle w:val="66"/>
            </w:pPr>
            <w:r>
              <w:t>损毁</w:t>
            </w:r>
          </w:p>
        </w:tc>
        <w:tc>
          <w:tcPr>
            <w:tcW w:w="817" w:type="dxa"/>
            <w:tcBorders>
              <w:tl2br w:val="nil"/>
              <w:tr2bl w:val="nil"/>
            </w:tcBorders>
            <w:vAlign w:val="center"/>
          </w:tcPr>
          <w:p>
            <w:pPr>
              <w:pStyle w:val="66"/>
            </w:pPr>
            <w:r>
              <w:t>挖损</w:t>
            </w:r>
            <w:r>
              <w:rPr>
                <w:rFonts w:hint="eastAsia"/>
              </w:rPr>
              <w:t>/</w:t>
            </w:r>
            <w:r>
              <w:t>压占</w:t>
            </w:r>
          </w:p>
        </w:tc>
        <w:tc>
          <w:tcPr>
            <w:tcW w:w="2042" w:type="dxa"/>
            <w:gridSpan w:val="3"/>
            <w:tcBorders>
              <w:tl2br w:val="nil"/>
              <w:tr2bl w:val="nil"/>
            </w:tcBorders>
            <w:vAlign w:val="center"/>
          </w:tcPr>
          <w:p>
            <w:pPr>
              <w:pStyle w:val="66"/>
            </w:pPr>
            <w:r>
              <w:rPr>
                <w:rFonts w:hint="eastAsia"/>
              </w:rPr>
              <w:t>8.2789</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rPr>
                <w:rFonts w:hint="eastAsia"/>
              </w:rPr>
              <w:t>8.2789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t>合计</w:t>
            </w:r>
          </w:p>
        </w:tc>
        <w:tc>
          <w:tcPr>
            <w:tcW w:w="2042" w:type="dxa"/>
            <w:gridSpan w:val="3"/>
            <w:tcBorders>
              <w:tl2br w:val="nil"/>
              <w:tr2bl w:val="nil"/>
            </w:tcBorders>
            <w:vAlign w:val="center"/>
          </w:tcPr>
          <w:p>
            <w:pPr>
              <w:pStyle w:val="66"/>
            </w:pPr>
            <w:r>
              <w:rPr>
                <w:rFonts w:hint="eastAsia"/>
              </w:rPr>
              <w:t>8.2789</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rPr>
                <w:rFonts w:hint="eastAsia"/>
              </w:rPr>
              <w:t>8.2789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restart"/>
            <w:tcBorders>
              <w:tl2br w:val="nil"/>
              <w:tr2bl w:val="nil"/>
            </w:tcBorders>
            <w:vAlign w:val="center"/>
          </w:tcPr>
          <w:p>
            <w:pPr>
              <w:pStyle w:val="66"/>
            </w:pPr>
            <w:r>
              <w:t>复垦土地面积</w:t>
            </w:r>
          </w:p>
        </w:tc>
        <w:tc>
          <w:tcPr>
            <w:tcW w:w="1427" w:type="dxa"/>
            <w:gridSpan w:val="2"/>
            <w:vMerge w:val="restart"/>
            <w:tcBorders>
              <w:tl2br w:val="nil"/>
              <w:tr2bl w:val="nil"/>
            </w:tcBorders>
            <w:vAlign w:val="center"/>
          </w:tcPr>
          <w:p>
            <w:pPr>
              <w:pStyle w:val="66"/>
            </w:pPr>
            <w:r>
              <w:t>一级地类</w:t>
            </w:r>
          </w:p>
        </w:tc>
        <w:tc>
          <w:tcPr>
            <w:tcW w:w="2042" w:type="dxa"/>
            <w:gridSpan w:val="3"/>
            <w:vMerge w:val="restart"/>
            <w:tcBorders>
              <w:tl2br w:val="nil"/>
              <w:tr2bl w:val="nil"/>
            </w:tcBorders>
            <w:vAlign w:val="center"/>
          </w:tcPr>
          <w:p>
            <w:pPr>
              <w:pStyle w:val="66"/>
            </w:pPr>
            <w:r>
              <w:t>二级地类</w:t>
            </w:r>
          </w:p>
        </w:tc>
        <w:tc>
          <w:tcPr>
            <w:tcW w:w="3987" w:type="dxa"/>
            <w:gridSpan w:val="7"/>
            <w:tcBorders>
              <w:tl2br w:val="nil"/>
              <w:tr2bl w:val="nil"/>
            </w:tcBorders>
            <w:vAlign w:val="center"/>
          </w:tcPr>
          <w:p>
            <w:pPr>
              <w:pStyle w:val="66"/>
            </w:pPr>
            <w:r>
              <w:t>面积（hm²）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2042" w:type="dxa"/>
            <w:gridSpan w:val="3"/>
            <w:vMerge w:val="continue"/>
            <w:tcBorders>
              <w:tl2br w:val="nil"/>
              <w:tr2bl w:val="nil"/>
            </w:tcBorders>
            <w:vAlign w:val="center"/>
          </w:tcPr>
          <w:p>
            <w:pPr>
              <w:pStyle w:val="66"/>
            </w:pPr>
          </w:p>
        </w:tc>
        <w:tc>
          <w:tcPr>
            <w:tcW w:w="2072" w:type="dxa"/>
            <w:gridSpan w:val="4"/>
            <w:tcBorders>
              <w:tl2br w:val="nil"/>
              <w:tr2bl w:val="nil"/>
            </w:tcBorders>
            <w:vAlign w:val="center"/>
          </w:tcPr>
          <w:p>
            <w:pPr>
              <w:pStyle w:val="66"/>
            </w:pPr>
            <w:r>
              <w:t>已复垦</w:t>
            </w:r>
          </w:p>
        </w:tc>
        <w:tc>
          <w:tcPr>
            <w:tcW w:w="1915" w:type="dxa"/>
            <w:gridSpan w:val="3"/>
            <w:tcBorders>
              <w:tl2br w:val="nil"/>
              <w:tr2bl w:val="nil"/>
            </w:tcBorders>
            <w:vAlign w:val="center"/>
          </w:tcPr>
          <w:p>
            <w:pPr>
              <w:pStyle w:val="66"/>
            </w:pPr>
            <w:r>
              <w:t>拟复垦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林地</w:t>
            </w:r>
          </w:p>
        </w:tc>
        <w:tc>
          <w:tcPr>
            <w:tcW w:w="2042" w:type="dxa"/>
            <w:gridSpan w:val="3"/>
            <w:tcBorders>
              <w:tl2br w:val="nil"/>
              <w:tr2bl w:val="nil"/>
            </w:tcBorders>
            <w:vAlign w:val="center"/>
          </w:tcPr>
          <w:p>
            <w:pPr>
              <w:pStyle w:val="66"/>
            </w:pPr>
            <w:r>
              <w:rPr>
                <w:rFonts w:hint="eastAsia"/>
              </w:rPr>
              <w:t>灌木林地</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t>4.2632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草地</w:t>
            </w:r>
          </w:p>
        </w:tc>
        <w:tc>
          <w:tcPr>
            <w:tcW w:w="2042" w:type="dxa"/>
            <w:gridSpan w:val="3"/>
            <w:tcBorders>
              <w:tl2br w:val="nil"/>
              <w:tr2bl w:val="nil"/>
            </w:tcBorders>
            <w:vAlign w:val="center"/>
          </w:tcPr>
          <w:p>
            <w:pPr>
              <w:pStyle w:val="66"/>
            </w:pPr>
            <w:r>
              <w:rPr>
                <w:rFonts w:hint="eastAsia"/>
              </w:rPr>
              <w:t>其他草地</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t>0.0139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vMerge w:val="restart"/>
            <w:tcBorders>
              <w:tl2br w:val="nil"/>
              <w:tr2bl w:val="nil"/>
            </w:tcBorders>
            <w:vAlign w:val="center"/>
          </w:tcPr>
          <w:p>
            <w:pPr>
              <w:pStyle w:val="66"/>
            </w:pPr>
            <w:r>
              <w:rPr>
                <w:rFonts w:hint="eastAsia"/>
              </w:rPr>
              <w:t>交通运输用地</w:t>
            </w:r>
          </w:p>
        </w:tc>
        <w:tc>
          <w:tcPr>
            <w:tcW w:w="2042" w:type="dxa"/>
            <w:gridSpan w:val="3"/>
            <w:tcBorders>
              <w:tl2br w:val="nil"/>
              <w:tr2bl w:val="nil"/>
            </w:tcBorders>
            <w:vAlign w:val="center"/>
          </w:tcPr>
          <w:p>
            <w:pPr>
              <w:pStyle w:val="66"/>
            </w:pPr>
            <w:r>
              <w:rPr>
                <w:rFonts w:hint="eastAsia"/>
              </w:rPr>
              <w:t>农村道路</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t>0.8681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2042" w:type="dxa"/>
            <w:gridSpan w:val="3"/>
            <w:tcBorders>
              <w:tl2br w:val="nil"/>
              <w:tr2bl w:val="nil"/>
            </w:tcBorders>
            <w:vAlign w:val="center"/>
          </w:tcPr>
          <w:p>
            <w:pPr>
              <w:pStyle w:val="66"/>
            </w:pPr>
            <w:r>
              <w:t>沟渠</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t>2.7509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vMerge w:val="continue"/>
            <w:tcBorders>
              <w:tl2br w:val="nil"/>
              <w:tr2bl w:val="nil"/>
            </w:tcBorders>
            <w:vAlign w:val="center"/>
          </w:tcPr>
          <w:p>
            <w:pPr>
              <w:pStyle w:val="66"/>
            </w:pPr>
          </w:p>
        </w:tc>
        <w:tc>
          <w:tcPr>
            <w:tcW w:w="1427" w:type="dxa"/>
            <w:gridSpan w:val="2"/>
            <w:tcBorders>
              <w:tl2br w:val="nil"/>
              <w:tr2bl w:val="nil"/>
            </w:tcBorders>
            <w:vAlign w:val="center"/>
          </w:tcPr>
          <w:p>
            <w:pPr>
              <w:pStyle w:val="66"/>
            </w:pPr>
            <w:r>
              <w:rPr>
                <w:rFonts w:hint="eastAsia"/>
              </w:rPr>
              <w:t>其他土地</w:t>
            </w:r>
          </w:p>
        </w:tc>
        <w:tc>
          <w:tcPr>
            <w:tcW w:w="2042" w:type="dxa"/>
            <w:gridSpan w:val="3"/>
            <w:tcBorders>
              <w:tl2br w:val="nil"/>
              <w:tr2bl w:val="nil"/>
            </w:tcBorders>
            <w:vAlign w:val="center"/>
          </w:tcPr>
          <w:p>
            <w:pPr>
              <w:pStyle w:val="66"/>
            </w:pPr>
            <w:r>
              <w:rPr>
                <w:rFonts w:hint="eastAsia"/>
              </w:rPr>
              <w:t>后备耕地</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t>0.3828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827" w:type="dxa"/>
            <w:vMerge w:val="continue"/>
            <w:tcBorders>
              <w:tl2br w:val="nil"/>
              <w:tr2bl w:val="nil"/>
            </w:tcBorders>
            <w:vAlign w:val="center"/>
          </w:tcPr>
          <w:p>
            <w:pPr>
              <w:pStyle w:val="66"/>
            </w:pPr>
          </w:p>
        </w:tc>
        <w:tc>
          <w:tcPr>
            <w:tcW w:w="3469" w:type="dxa"/>
            <w:gridSpan w:val="5"/>
            <w:tcBorders>
              <w:tl2br w:val="nil"/>
              <w:tr2bl w:val="nil"/>
            </w:tcBorders>
            <w:vAlign w:val="center"/>
          </w:tcPr>
          <w:p>
            <w:pPr>
              <w:pStyle w:val="66"/>
            </w:pPr>
            <w:r>
              <w:t>合计</w:t>
            </w:r>
          </w:p>
        </w:tc>
        <w:tc>
          <w:tcPr>
            <w:tcW w:w="2072" w:type="dxa"/>
            <w:gridSpan w:val="4"/>
            <w:tcBorders>
              <w:tl2br w:val="nil"/>
              <w:tr2bl w:val="nil"/>
            </w:tcBorders>
            <w:vAlign w:val="center"/>
          </w:tcPr>
          <w:p>
            <w:pPr>
              <w:pStyle w:val="66"/>
            </w:pPr>
          </w:p>
        </w:tc>
        <w:tc>
          <w:tcPr>
            <w:tcW w:w="1915" w:type="dxa"/>
            <w:gridSpan w:val="3"/>
            <w:tcBorders>
              <w:tl2br w:val="nil"/>
              <w:tr2bl w:val="nil"/>
            </w:tcBorders>
            <w:vAlign w:val="center"/>
          </w:tcPr>
          <w:p>
            <w:pPr>
              <w:pStyle w:val="66"/>
            </w:pPr>
            <w:r>
              <w:rPr>
                <w:rFonts w:hint="eastAsia"/>
              </w:rPr>
              <w:t>8.2789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827" w:type="dxa"/>
            <w:vMerge w:val="continue"/>
            <w:tcBorders>
              <w:tl2br w:val="nil"/>
              <w:tr2bl w:val="nil"/>
            </w:tcBorders>
            <w:vAlign w:val="center"/>
          </w:tcPr>
          <w:p>
            <w:pPr>
              <w:pStyle w:val="66"/>
            </w:pPr>
          </w:p>
        </w:tc>
        <w:tc>
          <w:tcPr>
            <w:tcW w:w="3469" w:type="dxa"/>
            <w:gridSpan w:val="5"/>
            <w:tcBorders>
              <w:tl2br w:val="nil"/>
              <w:tr2bl w:val="nil"/>
            </w:tcBorders>
            <w:vAlign w:val="center"/>
          </w:tcPr>
          <w:p>
            <w:pPr>
              <w:pStyle w:val="66"/>
            </w:pPr>
            <w:r>
              <w:t>土地复垦率（％）</w:t>
            </w:r>
          </w:p>
        </w:tc>
        <w:tc>
          <w:tcPr>
            <w:tcW w:w="3987" w:type="dxa"/>
            <w:gridSpan w:val="7"/>
            <w:tcBorders>
              <w:tl2br w:val="nil"/>
              <w:tr2bl w:val="nil"/>
            </w:tcBorders>
            <w:vAlign w:val="center"/>
          </w:tcPr>
          <w:p>
            <w:pPr>
              <w:pStyle w:val="66"/>
            </w:pPr>
            <w: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27" w:type="dxa"/>
            <w:tcBorders>
              <w:tl2br w:val="nil"/>
              <w:tr2bl w:val="nil"/>
            </w:tcBorders>
            <w:vAlign w:val="center"/>
          </w:tcPr>
          <w:p>
            <w:pPr>
              <w:pStyle w:val="66"/>
            </w:pPr>
            <w:r>
              <w:t>工作计划及主要措施</w:t>
            </w:r>
          </w:p>
        </w:tc>
        <w:tc>
          <w:tcPr>
            <w:tcW w:w="7456" w:type="dxa"/>
            <w:gridSpan w:val="12"/>
            <w:tcBorders>
              <w:tl2br w:val="nil"/>
              <w:tr2bl w:val="nil"/>
            </w:tcBorders>
            <w:vAlign w:val="center"/>
          </w:tcPr>
          <w:p>
            <w:pPr>
              <w:pStyle w:val="66"/>
              <w:ind w:firstLine="420" w:firstLineChars="200"/>
              <w:jc w:val="both"/>
            </w:pPr>
            <w:r>
              <w:t>1.方案摘要</w:t>
            </w:r>
          </w:p>
          <w:p>
            <w:pPr>
              <w:pStyle w:val="66"/>
              <w:ind w:firstLine="420" w:firstLineChars="200"/>
              <w:jc w:val="both"/>
            </w:pPr>
            <w:r>
              <w:t>（1）服务年限</w:t>
            </w:r>
          </w:p>
          <w:p>
            <w:pPr>
              <w:pStyle w:val="66"/>
              <w:ind w:firstLine="420" w:firstLineChars="200"/>
              <w:jc w:val="both"/>
            </w:pPr>
            <w:r>
              <w:t>喀什噶尔河克孜河伽师县贝纳木南岸防洪工程（K162+250～K165+850段）施工总工期为4个月。从2026年9月初开始，至2026年12月底完成施工。土地复垦工程施工期2027年1月~2027年6月，因此该项目工程从建设到土地复垦工作结束共用时47个月（2026年9月~2030年7月，含增设三年管护期），故该土地复垦项目临时用地使用期为47个月，本复垦方案服务期限为47个月（2026年9月~2030年7月，含增设三年管护期）。按照土地复垦服务年限的要求，复垦年限应与临时工程服务年限一致。</w:t>
            </w:r>
          </w:p>
          <w:p>
            <w:pPr>
              <w:pStyle w:val="66"/>
              <w:ind w:firstLine="420" w:firstLineChars="200"/>
              <w:jc w:val="both"/>
            </w:pPr>
            <w:r>
              <w:t>（2）复垦区及复垦责任范围</w:t>
            </w:r>
          </w:p>
          <w:p>
            <w:pPr>
              <w:pStyle w:val="66"/>
              <w:ind w:firstLine="420" w:firstLineChars="200"/>
              <w:jc w:val="both"/>
            </w:pPr>
            <w:r>
              <w:t>本方案主体工程用地为防洪堤工程、穿堤引水闸工程和附属设施等，占地面积为7.4491 hm</w:t>
            </w:r>
            <w:r>
              <w:rPr>
                <w:vertAlign w:val="superscript"/>
              </w:rPr>
              <w:t>2</w:t>
            </w:r>
            <w:r>
              <w:t>。临时用地面积8.2789 hm</w:t>
            </w:r>
            <w:r>
              <w:rPr>
                <w:vertAlign w:val="superscript"/>
              </w:rPr>
              <w:t>2</w:t>
            </w:r>
            <w:r>
              <w:t>，损毁土地范围为临时用地损毁范围，面积为8.2789 hm</w:t>
            </w:r>
            <w:r>
              <w:rPr>
                <w:vertAlign w:val="superscript"/>
              </w:rPr>
              <w:t>2</w:t>
            </w:r>
            <w:r>
              <w:t>；复垦区面积为损毁土地面积与永久性建设用地面积之和，复垦区面积为15.7280 hm</w:t>
            </w:r>
            <w:r>
              <w:rPr>
                <w:vertAlign w:val="superscript"/>
              </w:rPr>
              <w:t>2</w:t>
            </w:r>
            <w:r>
              <w:t>；复垦责任范围面积为损毁土地面积，为8.2789hm</w:t>
            </w:r>
            <w:r>
              <w:rPr>
                <w:vertAlign w:val="superscript"/>
              </w:rPr>
              <w:t>2</w:t>
            </w:r>
            <w:r>
              <w:t>。</w:t>
            </w:r>
          </w:p>
          <w:p>
            <w:pPr>
              <w:pStyle w:val="66"/>
              <w:ind w:firstLine="420" w:firstLineChars="200"/>
              <w:jc w:val="both"/>
            </w:pPr>
            <w:r>
              <w:t>（3）土地复垦目标</w:t>
            </w:r>
          </w:p>
          <w:p>
            <w:pPr>
              <w:pStyle w:val="66"/>
              <w:ind w:firstLine="420" w:firstLineChars="200"/>
              <w:jc w:val="both"/>
            </w:pPr>
            <w:r>
              <w:t>本方案复垦责任范围8.2789 hm</w:t>
            </w:r>
            <w:r>
              <w:rPr>
                <w:rFonts w:hint="eastAsia"/>
                <w:vertAlign w:val="superscript"/>
              </w:rPr>
              <w:t>2</w:t>
            </w:r>
            <w:r>
              <w:t>，实际复垦土地面积8.2789 hm</w:t>
            </w:r>
            <w:r>
              <w:rPr>
                <w:rFonts w:hint="eastAsia"/>
                <w:vertAlign w:val="superscript"/>
              </w:rPr>
              <w:t>2</w:t>
            </w:r>
            <w:r>
              <w:t>，复垦为林地4.2632 hm</w:t>
            </w:r>
            <w:r>
              <w:rPr>
                <w:rFonts w:hint="eastAsia"/>
                <w:vertAlign w:val="superscript"/>
              </w:rPr>
              <w:t>2</w:t>
            </w:r>
            <w:r>
              <w:t>，复垦为草地0.0139 hm</w:t>
            </w:r>
            <w:r>
              <w:rPr>
                <w:rFonts w:hint="eastAsia"/>
                <w:vertAlign w:val="superscript"/>
              </w:rPr>
              <w:t>2</w:t>
            </w:r>
            <w:r>
              <w:t>，复垦为交通运输用地0.8681 hm</w:t>
            </w:r>
            <w:r>
              <w:rPr>
                <w:rFonts w:hint="eastAsia"/>
                <w:vertAlign w:val="superscript"/>
              </w:rPr>
              <w:t>2</w:t>
            </w:r>
            <w:r>
              <w:t>，复垦为水域及水利设施用地2.7509hm</w:t>
            </w:r>
            <w:r>
              <w:rPr>
                <w:rFonts w:hint="eastAsia"/>
                <w:vertAlign w:val="superscript"/>
              </w:rPr>
              <w:t>2</w:t>
            </w:r>
            <w:r>
              <w:t>，复垦为其他土地0.3828 hm</w:t>
            </w:r>
            <w:r>
              <w:rPr>
                <w:rFonts w:hint="eastAsia"/>
                <w:vertAlign w:val="superscript"/>
              </w:rPr>
              <w:t>2</w:t>
            </w:r>
            <w:r>
              <w:t>，土地复垦率为100%。</w:t>
            </w:r>
          </w:p>
          <w:p>
            <w:pPr>
              <w:pStyle w:val="66"/>
              <w:ind w:firstLine="420" w:firstLineChars="200"/>
              <w:jc w:val="both"/>
            </w:pPr>
            <w:r>
              <w:rPr>
                <w:rFonts w:hint="eastAsia"/>
              </w:rPr>
              <w:t>项目区复垦土地总面积为8.2789公顷（合124.1835亩），项目静态总投资84.31万元，亩均投资6789元/亩。其中，工程施工费66.49万元，占静态总投资的78.86%；其他费用8.44万元，占静态总投资的10.01%；监测与管护7.13万元，占静态总投资的8.46%；预备费（基本预备费）2.25万元，占静态总投资的2.67%。</w:t>
            </w:r>
          </w:p>
          <w:p>
            <w:pPr>
              <w:pStyle w:val="66"/>
              <w:ind w:firstLine="420" w:firstLineChars="200"/>
              <w:jc w:val="both"/>
            </w:pPr>
            <w:r>
              <w:t>2.主要复垦措施</w:t>
            </w:r>
          </w:p>
          <w:p>
            <w:pPr>
              <w:pStyle w:val="66"/>
              <w:ind w:firstLine="420" w:firstLineChars="200"/>
              <w:jc w:val="both"/>
            </w:pPr>
            <w:r>
              <w:t>根据第四章的复垦适宜性评价结果，本项目对材料堆场（临时围堰）、材料堆场、施工便道和地下管线敷设作业（施工基坑）等进行复垦工程设计。</w:t>
            </w:r>
          </w:p>
          <w:p>
            <w:pPr>
              <w:pStyle w:val="66"/>
              <w:ind w:firstLine="420" w:firstLineChars="200"/>
              <w:jc w:val="both"/>
            </w:pPr>
            <w:r>
              <w:t>（1）</w:t>
            </w:r>
            <w:r>
              <w:rPr>
                <w:rFonts w:hint="eastAsia"/>
              </w:rPr>
              <w:t>材料堆场（临时围堰）用地</w:t>
            </w:r>
          </w:p>
          <w:p>
            <w:pPr>
              <w:pStyle w:val="66"/>
              <w:ind w:firstLine="420" w:firstLineChars="200"/>
              <w:jc w:val="both"/>
            </w:pPr>
            <w:r>
              <w:rPr>
                <w:rFonts w:hint="eastAsia"/>
              </w:rPr>
              <w:t>a）表土剥离</w:t>
            </w:r>
          </w:p>
          <w:p>
            <w:pPr>
              <w:pStyle w:val="66"/>
              <w:ind w:firstLine="420" w:firstLineChars="200"/>
              <w:jc w:val="both"/>
            </w:pPr>
            <w:r>
              <w:rPr>
                <w:rFonts w:hint="eastAsia"/>
              </w:rPr>
              <w:t>损毁土地的表土的剥离工作采取分片剥离的方式，用推土机剥离一片就堆放一片，要防止一次性剥离造成地表大量的扰动。剥离的表土用于土地复垦时表土覆盖，堆放于便于施工的土地损毁范围内，并对表土进行苫盖措施，不再占用其他土地，堆放高度1.5~3m，采用防尘网防护（施工材料依托主体）防止水土流失，待施工结束后用于表层覆土。表土剥离涉及6371.4立方米。</w:t>
            </w:r>
          </w:p>
          <w:p>
            <w:pPr>
              <w:pStyle w:val="66"/>
              <w:ind w:firstLine="420" w:firstLineChars="200"/>
              <w:jc w:val="both"/>
            </w:pPr>
            <w:r>
              <w:rPr>
                <w:rFonts w:hint="eastAsia"/>
              </w:rPr>
              <w:t>b）土地平整</w:t>
            </w:r>
          </w:p>
          <w:p>
            <w:pPr>
              <w:pStyle w:val="66"/>
              <w:ind w:firstLine="420" w:firstLineChars="200"/>
              <w:jc w:val="both"/>
            </w:pPr>
            <w:r>
              <w:rPr>
                <w:rFonts w:hint="eastAsia"/>
              </w:rPr>
              <w:t>施工期间，围堰建设过程中的临时堆放、施工车辆和人员的活动等，对土地造成挖损和压占，使原有的土地形态发生改变，会使土地的表层起伏不平。为保证复垦措施的及时实施，以平整单元内部土方挖填平衡为基础，利用推土机对场地进行平整，推平地面高低不平区域，平整后地面坡度达到复垦质量要求，其中围堰平整平均厚度约5cm，土地平整工程量为1301.4立方米。</w:t>
            </w:r>
          </w:p>
          <w:p>
            <w:pPr>
              <w:pStyle w:val="66"/>
              <w:ind w:firstLine="420" w:firstLineChars="200"/>
              <w:jc w:val="both"/>
            </w:pPr>
            <w:r>
              <w:rPr>
                <w:rFonts w:hint="eastAsia"/>
              </w:rPr>
              <w:t>c）表土回覆</w:t>
            </w:r>
          </w:p>
          <w:p>
            <w:pPr>
              <w:pStyle w:val="66"/>
              <w:ind w:firstLine="420" w:firstLineChars="200"/>
              <w:jc w:val="both"/>
            </w:pPr>
            <w:r>
              <w:rPr>
                <w:rFonts w:hint="eastAsia"/>
              </w:rPr>
              <w:t>针对复垦方向为林地、草地和后备耕地的区域，在土地平整后需利用推土机将建设前期剥离的表土回覆在疏松后的地表上，作为表层土壤，为农作物的种植创造土壤条件，覆盖时注意尽量使表土分布均匀，有利于农作物的生长。覆土来源主要为临时用地前期剥离的表土，覆土时应保证覆土厚度不低于30cm，具体实施时可根据实际情况确定，原则上不小于前期剥离的厚度。依此设计测算，覆土面积为2.1238hm</w:t>
            </w:r>
            <w:r>
              <w:rPr>
                <w:rFonts w:hint="eastAsia"/>
                <w:vertAlign w:val="superscript"/>
              </w:rPr>
              <w:t>2</w:t>
            </w:r>
            <w:r>
              <w:rPr>
                <w:rFonts w:hint="eastAsia"/>
              </w:rPr>
              <w:t>，覆土厚度为30cm，覆土工程量为6371.4立方米。</w:t>
            </w:r>
          </w:p>
          <w:p>
            <w:pPr>
              <w:pStyle w:val="66"/>
              <w:ind w:firstLine="420" w:firstLineChars="200"/>
              <w:jc w:val="both"/>
            </w:pPr>
            <w:r>
              <w:rPr>
                <w:rFonts w:hint="eastAsia"/>
              </w:rPr>
              <w:t>d）土壤培肥</w:t>
            </w:r>
          </w:p>
          <w:p>
            <w:pPr>
              <w:pStyle w:val="66"/>
              <w:ind w:firstLine="420" w:firstLineChars="200"/>
              <w:jc w:val="both"/>
            </w:pPr>
            <w:r>
              <w:rPr>
                <w:rFonts w:hint="eastAsia"/>
              </w:rPr>
              <w:t>由于在施工过程中受到人工扰动比较大，原有土壤结构遭到破坏，造成了土地肥力降低。为快速有效地提高林地、草地和后备耕地质量，本方案针对复垦为林地、草地和后备耕地区域采取土壤改良与培肥措施，即在土地翻耕时采用撒施的方式将有机-无机复合肥撒于土壤表层，然后再覆土，从而增加土壤有机质和养分含量，改良土壤性状，提高土壤肥力，林地、草地和后备耕地施肥量为750kg/hm</w:t>
            </w:r>
            <w:r>
              <w:rPr>
                <w:rFonts w:hint="eastAsia"/>
                <w:vertAlign w:val="superscript"/>
              </w:rPr>
              <w:t>2</w:t>
            </w:r>
            <w:r>
              <w:rPr>
                <w:rFonts w:hint="eastAsia"/>
              </w:rPr>
              <w:t>，则需要复合肥：1.593t。</w:t>
            </w:r>
          </w:p>
          <w:p>
            <w:pPr>
              <w:pStyle w:val="66"/>
              <w:ind w:firstLine="420" w:firstLineChars="200"/>
              <w:jc w:val="both"/>
            </w:pPr>
            <w:r>
              <w:rPr>
                <w:rFonts w:hint="eastAsia"/>
              </w:rPr>
              <w:t>e）植被重建</w:t>
            </w:r>
          </w:p>
          <w:p>
            <w:pPr>
              <w:pStyle w:val="66"/>
              <w:ind w:firstLine="420" w:firstLineChars="200"/>
              <w:jc w:val="both"/>
            </w:pPr>
            <w:r>
              <w:rPr>
                <w:rFonts w:hint="eastAsia"/>
              </w:rPr>
              <w:t>在整平、覆土改造的基础上，选取的主要植物种进行植被重建，本复垦单元植物工程措施如下：</w:t>
            </w:r>
          </w:p>
          <w:p>
            <w:pPr>
              <w:pStyle w:val="66"/>
              <w:ind w:firstLine="420" w:firstLineChars="200"/>
              <w:jc w:val="both"/>
            </w:pPr>
            <w:r>
              <w:rPr>
                <w:rFonts w:hint="eastAsia"/>
              </w:rPr>
              <w:t>复垦方向为灌木林地的土地损毁区域，灌木种类选择裸根的红柳，株行距1×2m，栽植穴规格要求为120cm×120cm，先回填一些熟土后进行种植栽植。苗木栽植后，及时浇透一次定根水，以确保苗木的成活。另外，应加强苗木管护，根据气候条件及降水量，适时浇水或排水，防止苗木因体内过量水分损失或土壤积水而死亡。采用机械洒水时，不得直接冲击地表，以防对地面造成冲刷，另一方面，应根据树种特点，监测并防治病虫害、鼠害，土球直径平均约20cm，冠幅为80cm，种植红柳10611株。</w:t>
            </w:r>
          </w:p>
          <w:p>
            <w:pPr>
              <w:pStyle w:val="66"/>
              <w:ind w:firstLine="420" w:firstLineChars="200"/>
              <w:jc w:val="both"/>
            </w:pPr>
            <w:r>
              <w:rPr>
                <w:rFonts w:hint="eastAsia"/>
              </w:rPr>
              <w:t>复垦方向为其他草地和后备耕地的区域，施工结束通过工程措施使损毁区域复垦到符合植被恢复条件，在雨季一次性撒播草种，进行自然恢复，草籽选择芨芨草、骆驼刺、盐爪爪，混播1：1：1，撒播量为30kg/hm</w:t>
            </w:r>
            <w:r>
              <w:rPr>
                <w:rFonts w:hint="eastAsia"/>
                <w:vertAlign w:val="superscript"/>
              </w:rPr>
              <w:t>2</w:t>
            </w:r>
            <w:r>
              <w:rPr>
                <w:rFonts w:hint="eastAsia"/>
              </w:rPr>
              <w:t>，播撒面积为0.0018公顷，播撒总量为0.054千克。</w:t>
            </w:r>
          </w:p>
          <w:p>
            <w:pPr>
              <w:pStyle w:val="66"/>
              <w:ind w:firstLine="420" w:firstLineChars="200"/>
              <w:jc w:val="both"/>
            </w:pPr>
            <w:r>
              <w:t>（2）</w:t>
            </w:r>
            <w:r>
              <w:rPr>
                <w:rFonts w:hint="eastAsia"/>
              </w:rPr>
              <w:t>材料堆场</w:t>
            </w:r>
          </w:p>
          <w:p>
            <w:pPr>
              <w:pStyle w:val="66"/>
              <w:ind w:firstLine="420" w:firstLineChars="200"/>
              <w:jc w:val="both"/>
            </w:pPr>
            <w:r>
              <w:rPr>
                <w:rFonts w:hint="eastAsia"/>
              </w:rPr>
              <w:t>a）表土剥离</w:t>
            </w:r>
          </w:p>
          <w:p>
            <w:pPr>
              <w:pStyle w:val="66"/>
              <w:ind w:firstLine="420" w:firstLineChars="200"/>
              <w:jc w:val="both"/>
            </w:pPr>
            <w:r>
              <w:rPr>
                <w:rFonts w:hint="eastAsia"/>
              </w:rPr>
              <w:t>损毁土地的表土的剥离工作采取分片剥离的方式，用推土机剥离一片就堆放一片，堆放到一定高度再剥离下一片的表层土，要防止一次性剥离造成地表大量的扰动。剥离的表土用于土地复垦时表土覆盖，堆放于便于施工的土地损毁范围内，并对表土进行苫盖措施，不再占用其他土地，堆放高度1.5~3m，采用防尘网防护（施工材料依托主体）防止水土流失，待施工结束后用于表层覆土。表土剥离涉及1291.5立方米。</w:t>
            </w:r>
          </w:p>
          <w:p>
            <w:pPr>
              <w:pStyle w:val="66"/>
              <w:ind w:firstLine="420" w:firstLineChars="200"/>
              <w:jc w:val="both"/>
            </w:pPr>
            <w:r>
              <w:rPr>
                <w:rFonts w:hint="eastAsia"/>
              </w:rPr>
              <w:t>b）土地平整</w:t>
            </w:r>
          </w:p>
          <w:p>
            <w:pPr>
              <w:pStyle w:val="66"/>
              <w:ind w:firstLine="420" w:firstLineChars="200"/>
              <w:jc w:val="both"/>
            </w:pPr>
            <w:r>
              <w:rPr>
                <w:rFonts w:hint="eastAsia"/>
              </w:rPr>
              <w:t>施工期间，临时堆放弃渣、施工车辆和人员的活动等，对土地造成挖损和压占，使原有的土地形态发生改变，会使土地的表层起伏不平。为保证复垦措施的及时实施，以平整单元内部土方挖填平衡为基础，利用推土机对场地进行平整，推平地面高低不平区域，平整后地面坡度达到复垦质量要求，平整厚度约20cm，土地平整工程量为1438 m</w:t>
            </w:r>
            <w:r>
              <w:rPr>
                <w:rFonts w:hint="eastAsia"/>
                <w:vertAlign w:val="superscript"/>
              </w:rPr>
              <w:t>3</w:t>
            </w:r>
            <w:r>
              <w:rPr>
                <w:rFonts w:hint="eastAsia"/>
              </w:rPr>
              <w:t>。</w:t>
            </w:r>
          </w:p>
          <w:p>
            <w:pPr>
              <w:pStyle w:val="66"/>
              <w:ind w:firstLine="420" w:firstLineChars="200"/>
              <w:jc w:val="both"/>
            </w:pPr>
            <w:r>
              <w:rPr>
                <w:rFonts w:hint="eastAsia"/>
              </w:rPr>
              <w:t>c）表土回覆</w:t>
            </w:r>
          </w:p>
          <w:p>
            <w:pPr>
              <w:pStyle w:val="66"/>
              <w:ind w:firstLine="420" w:firstLineChars="200"/>
              <w:jc w:val="both"/>
            </w:pPr>
            <w:r>
              <w:rPr>
                <w:rFonts w:hint="eastAsia"/>
              </w:rPr>
              <w:t>针对复垦方向为林地、草地的区域，在土地平整后需利用推土机将建设前期剥离的表土回覆在疏松后的地表上，作为表层土壤，为农作物的种植创造土壤条件，覆盖时注意尽量使表土分布均匀，有利于农作物的生长。覆土来源主要为临时用地前期剥离的表土，覆土时应保证覆土厚度不低于30cm，具体实施时可根据实际情况确定，原则上不小于前期剥离的厚度。依此设计测算，覆土面积为0.4305hm</w:t>
            </w:r>
            <w:r>
              <w:rPr>
                <w:rFonts w:hint="eastAsia"/>
                <w:vertAlign w:val="superscript"/>
              </w:rPr>
              <w:t>2</w:t>
            </w:r>
            <w:r>
              <w:rPr>
                <w:rFonts w:hint="eastAsia"/>
              </w:rPr>
              <w:t>，覆土厚度为30cm，覆土工程量为1291.5m</w:t>
            </w:r>
            <w:r>
              <w:rPr>
                <w:rFonts w:hint="eastAsia"/>
                <w:vertAlign w:val="superscript"/>
              </w:rPr>
              <w:t>3</w:t>
            </w:r>
            <w:r>
              <w:rPr>
                <w:rFonts w:hint="eastAsia"/>
              </w:rPr>
              <w:t>。</w:t>
            </w:r>
          </w:p>
          <w:p>
            <w:pPr>
              <w:pStyle w:val="66"/>
              <w:ind w:firstLine="420" w:firstLineChars="200"/>
              <w:jc w:val="both"/>
            </w:pPr>
            <w:r>
              <w:rPr>
                <w:rFonts w:hint="eastAsia"/>
              </w:rPr>
              <w:t>d）土壤培肥</w:t>
            </w:r>
          </w:p>
          <w:p>
            <w:pPr>
              <w:pStyle w:val="66"/>
              <w:ind w:firstLine="420" w:firstLineChars="200"/>
              <w:jc w:val="both"/>
            </w:pPr>
            <w:r>
              <w:rPr>
                <w:rFonts w:hint="eastAsia"/>
              </w:rPr>
              <w:t>由于在施工过程中受到人工扰动比较大，原有土壤结构遭到破坏，造成了土地肥力降低。为快速有效地提高林地、草地和后备耕地质量，本方案针对复垦为林地、草地和后备耕地区域采取土壤改良与培肥措施，即在土地翻耕时采用撒施的方式将有机-无机复合肥撒于土壤表层，然后再覆土，从而增加土壤有机质和养分含量，改良土壤性状，提高土壤肥力，林地、草地和后备耕地施肥量为750kg/hm</w:t>
            </w:r>
            <w:r>
              <w:rPr>
                <w:rFonts w:hint="eastAsia"/>
                <w:vertAlign w:val="superscript"/>
              </w:rPr>
              <w:t>2</w:t>
            </w:r>
            <w:r>
              <w:rPr>
                <w:rFonts w:hint="eastAsia"/>
              </w:rPr>
              <w:t>，则需要复合肥：0.323t。</w:t>
            </w:r>
          </w:p>
          <w:p>
            <w:pPr>
              <w:pStyle w:val="66"/>
              <w:ind w:firstLine="420" w:firstLineChars="200"/>
              <w:jc w:val="both"/>
            </w:pPr>
            <w:r>
              <w:rPr>
                <w:rFonts w:hint="eastAsia"/>
              </w:rPr>
              <w:t>e）植被重建</w:t>
            </w:r>
          </w:p>
          <w:p>
            <w:pPr>
              <w:pStyle w:val="66"/>
              <w:ind w:firstLine="420" w:firstLineChars="200"/>
              <w:jc w:val="both"/>
            </w:pPr>
            <w:r>
              <w:rPr>
                <w:rFonts w:hint="eastAsia"/>
              </w:rPr>
              <w:t>在整平、覆土改造的基础上，选取的主要植物种进行植被重建，本复垦单元植物工程措施如下：</w:t>
            </w:r>
          </w:p>
          <w:p>
            <w:pPr>
              <w:pStyle w:val="66"/>
              <w:ind w:firstLine="420" w:firstLineChars="200"/>
              <w:jc w:val="both"/>
            </w:pPr>
            <w:r>
              <w:rPr>
                <w:rFonts w:hint="eastAsia"/>
              </w:rPr>
              <w:t>复垦方向为灌木林地的土地损毁区域，灌木种类选择裸根的红柳株行距1×2m，栽植穴规格要求为120cm×120cm，先回填一些熟土后进行种植栽植。苗木栽植后，及时浇透一次定根水，以确保苗木的成活。另外，应加强苗木管护，根据气候条件及降水量，适时浇水或排水，防止苗木因体内过量水分损失或土壤积水而死亡。采用机械洒水时，不得直接冲击地表，以防对地面造成冲刷，另一方面，应根据树种特点，监测并防治病虫害、鼠害，土球直径平均约20cm，冠幅为80cm，种植红柳180株。</w:t>
            </w:r>
          </w:p>
          <w:p>
            <w:pPr>
              <w:pStyle w:val="66"/>
              <w:ind w:firstLine="420" w:firstLineChars="200"/>
              <w:jc w:val="both"/>
            </w:pPr>
            <w:r>
              <w:rPr>
                <w:rFonts w:hint="eastAsia"/>
              </w:rPr>
              <w:t>复垦方向为其他草地的区域，施工结束通过工程措施使损毁区域复垦到符合植被恢复条件，在雨季一次性撒播草种，进行自然恢复，草籽选择芨芨草、骆驼刺、盐爪爪，混播1：1：1，撒播量为30kg/hm</w:t>
            </w:r>
            <w:r>
              <w:rPr>
                <w:rFonts w:hint="eastAsia"/>
                <w:vertAlign w:val="superscript"/>
              </w:rPr>
              <w:t>2</w:t>
            </w:r>
            <w:r>
              <w:rPr>
                <w:rFonts w:hint="eastAsia"/>
              </w:rPr>
              <w:t>，播撒面积为0.3945公顷，播撒总量为11.835千克。</w:t>
            </w:r>
          </w:p>
          <w:p>
            <w:pPr>
              <w:pStyle w:val="66"/>
              <w:ind w:firstLine="420" w:firstLineChars="200"/>
              <w:jc w:val="both"/>
            </w:pPr>
            <w:r>
              <w:t>（3）施工便道</w:t>
            </w:r>
          </w:p>
          <w:p>
            <w:pPr>
              <w:pStyle w:val="66"/>
              <w:ind w:firstLine="420" w:firstLineChars="200"/>
              <w:jc w:val="both"/>
            </w:pPr>
            <w:r>
              <w:rPr>
                <w:rFonts w:hint="eastAsia"/>
              </w:rPr>
              <w:t>a）表土剥离</w:t>
            </w:r>
          </w:p>
          <w:p>
            <w:pPr>
              <w:pStyle w:val="66"/>
              <w:ind w:firstLine="420" w:firstLineChars="200"/>
              <w:jc w:val="both"/>
            </w:pPr>
            <w:r>
              <w:rPr>
                <w:rFonts w:hint="eastAsia"/>
              </w:rPr>
              <w:t>损毁土地的表土的剥离工作采取分片剥离的方式，用推土机剥离一片就堆放一片，堆放到一定高度再剥离下一片的表层土，要防止一次性剥离造成地表大量的扰动。剥离的表土用于土地复垦时表土覆盖，堆放于便于施工的土地损毁范围内，并对表土进行苫盖措施，不再占用其他土地，堆放高度1.5~3m，采用防尘网防护（施工材料依托主体）防止水土流失，待施工结束后用于表层覆土。表土剥离涉及296.1立方米。</w:t>
            </w:r>
          </w:p>
          <w:p>
            <w:pPr>
              <w:pStyle w:val="66"/>
              <w:ind w:firstLine="420" w:firstLineChars="200"/>
              <w:jc w:val="both"/>
            </w:pPr>
            <w:r>
              <w:rPr>
                <w:rFonts w:hint="eastAsia"/>
              </w:rPr>
              <w:t>b）地表固化物的清理</w:t>
            </w:r>
          </w:p>
          <w:p>
            <w:pPr>
              <w:pStyle w:val="66"/>
              <w:ind w:firstLine="420" w:firstLineChars="200"/>
              <w:jc w:val="both"/>
            </w:pPr>
            <w:r>
              <w:rPr>
                <w:rFonts w:hint="eastAsia"/>
              </w:rPr>
              <w:t>建设过程中为保证预制材料运输和部分重型机械的通行，施工道路使用15厘米戈壁料进行场地硬化，待项目主体工程施工结束后，需使用推土机将地表的砂砾石铲除，硬化拆除量为2521.2立方米。</w:t>
            </w:r>
          </w:p>
          <w:p>
            <w:pPr>
              <w:pStyle w:val="66"/>
              <w:ind w:firstLine="420" w:firstLineChars="200"/>
              <w:jc w:val="both"/>
            </w:pPr>
            <w:r>
              <w:rPr>
                <w:rFonts w:hint="eastAsia"/>
              </w:rPr>
              <w:t>c）垃圾清运</w:t>
            </w:r>
          </w:p>
          <w:p>
            <w:pPr>
              <w:pStyle w:val="66"/>
              <w:ind w:firstLine="420" w:firstLineChars="200"/>
              <w:jc w:val="both"/>
            </w:pPr>
            <w:r>
              <w:rPr>
                <w:rFonts w:hint="eastAsia"/>
              </w:rPr>
              <w:t>在戈壁料拆除完成后，使用装载机和自卸汽车将拆除的戈壁料运至距离最近的伽师县铁日木乡建筑垃圾填埋场，清运的工程量为2521.2立方米。</w:t>
            </w:r>
          </w:p>
          <w:p>
            <w:pPr>
              <w:pStyle w:val="66"/>
              <w:ind w:firstLine="420" w:firstLineChars="200"/>
              <w:jc w:val="both"/>
            </w:pPr>
            <w:r>
              <w:rPr>
                <w:rFonts w:hint="eastAsia"/>
              </w:rPr>
              <w:t>d）土地平整</w:t>
            </w:r>
          </w:p>
          <w:p>
            <w:pPr>
              <w:pStyle w:val="66"/>
              <w:ind w:firstLine="420" w:firstLineChars="200"/>
              <w:jc w:val="both"/>
            </w:pPr>
            <w:r>
              <w:rPr>
                <w:rFonts w:hint="eastAsia"/>
              </w:rPr>
              <w:t>施工便道来往机械车辆对土地造成压占后，使原有的土地形态发生改变，会使土地的表层起伏不平。为保证复垦措施的及时实施，待主体工程施工结束后，以平整单元内部土方挖填平衡为基础，利用推土机对场地进行平整，推平地面高低不平区域，平整后地面坡度达到复垦质量要求，平整平均厚度约5cm，土地平整工程量为840.4 m</w:t>
            </w:r>
            <w:r>
              <w:rPr>
                <w:rFonts w:hint="eastAsia"/>
                <w:vertAlign w:val="superscript"/>
              </w:rPr>
              <w:t>3</w:t>
            </w:r>
            <w:r>
              <w:rPr>
                <w:rFonts w:hint="eastAsia"/>
              </w:rPr>
              <w:t>。</w:t>
            </w:r>
          </w:p>
          <w:p>
            <w:pPr>
              <w:pStyle w:val="66"/>
              <w:ind w:firstLine="420" w:firstLineChars="200"/>
              <w:jc w:val="both"/>
            </w:pPr>
            <w:r>
              <w:rPr>
                <w:rFonts w:hint="eastAsia"/>
              </w:rPr>
              <w:t>e）表土回覆</w:t>
            </w:r>
          </w:p>
          <w:p>
            <w:pPr>
              <w:pStyle w:val="66"/>
              <w:ind w:firstLine="420" w:firstLineChars="200"/>
              <w:jc w:val="both"/>
            </w:pPr>
            <w:r>
              <w:rPr>
                <w:rFonts w:hint="eastAsia"/>
              </w:rPr>
              <w:t>针对复垦方向为林地、草地的区域，在土地平整后需利用推土机将建设前期剥离的表土回覆在疏松后的地表上，作为表层土壤，为农作物的种植创造土壤条件，覆盖时注意尽量使表土分布均匀，有利于农作物的生长。覆土来源主要为临时用地前期剥离的表土，覆土时应保证覆土厚度不低于30cm，具体实施时可根据实际情况确定，原则上不小于前期剥离的厚度。依此设计测算，覆土面积为0.0987hm</w:t>
            </w:r>
            <w:r>
              <w:rPr>
                <w:rFonts w:hint="eastAsia"/>
                <w:vertAlign w:val="superscript"/>
              </w:rPr>
              <w:t>2</w:t>
            </w:r>
            <w:r>
              <w:rPr>
                <w:rFonts w:hint="eastAsia"/>
              </w:rPr>
              <w:t>，覆土厚度为30cm，覆土工程量为296.1m</w:t>
            </w:r>
            <w:r>
              <w:rPr>
                <w:rFonts w:hint="eastAsia"/>
                <w:vertAlign w:val="superscript"/>
              </w:rPr>
              <w:t>3</w:t>
            </w:r>
            <w:r>
              <w:rPr>
                <w:rFonts w:hint="eastAsia"/>
              </w:rPr>
              <w:t>。</w:t>
            </w:r>
          </w:p>
          <w:p>
            <w:pPr>
              <w:pStyle w:val="66"/>
              <w:ind w:firstLine="420" w:firstLineChars="200"/>
              <w:jc w:val="both"/>
            </w:pPr>
            <w:r>
              <w:rPr>
                <w:rFonts w:hint="eastAsia"/>
              </w:rPr>
              <w:t>f）土壤培肥</w:t>
            </w:r>
          </w:p>
          <w:p>
            <w:pPr>
              <w:pStyle w:val="66"/>
              <w:ind w:firstLine="420" w:firstLineChars="200"/>
              <w:jc w:val="both"/>
            </w:pPr>
            <w:r>
              <w:rPr>
                <w:rFonts w:hint="eastAsia"/>
              </w:rPr>
              <w:t>由于在施工过程中受到人工扰动比较大，原有土壤结构遭到破坏，造成了土地肥力降低。为快速有效地提高林地、草地质量，本方案针对复垦为林地、草地的区域采取土壤改良与培肥措施，即在土地翻耕时采用撒施的方式将有机-无机复合肥撒于土壤表层，然后再覆土，从而增加土壤有机质和养分含量，改良土壤性状，提高土壤肥力，林地、草地施肥量为750kg/hm</w:t>
            </w:r>
            <w:r>
              <w:rPr>
                <w:rFonts w:hint="eastAsia"/>
                <w:vertAlign w:val="superscript"/>
              </w:rPr>
              <w:t>2</w:t>
            </w:r>
            <w:r>
              <w:rPr>
                <w:rFonts w:hint="eastAsia"/>
              </w:rPr>
              <w:t>，则需要复合肥：0.074t。</w:t>
            </w:r>
          </w:p>
          <w:p>
            <w:pPr>
              <w:pStyle w:val="66"/>
              <w:ind w:firstLine="420" w:firstLineChars="200"/>
              <w:jc w:val="both"/>
            </w:pPr>
            <w:r>
              <w:rPr>
                <w:rFonts w:hint="eastAsia"/>
              </w:rPr>
              <w:t>g）植被重建</w:t>
            </w:r>
          </w:p>
          <w:p>
            <w:pPr>
              <w:pStyle w:val="66"/>
              <w:ind w:firstLine="420" w:firstLineChars="200"/>
              <w:jc w:val="both"/>
            </w:pPr>
            <w:r>
              <w:rPr>
                <w:rFonts w:hint="eastAsia"/>
              </w:rPr>
              <w:t>在整平、覆土改造的基础上，选取的主要植物种进行植被重建，本复垦单元植物工程措施如下：</w:t>
            </w:r>
          </w:p>
          <w:p>
            <w:pPr>
              <w:pStyle w:val="66"/>
              <w:ind w:firstLine="420" w:firstLineChars="200"/>
              <w:jc w:val="both"/>
            </w:pPr>
            <w:r>
              <w:rPr>
                <w:rFonts w:hint="eastAsia"/>
              </w:rPr>
              <w:t>复垦方向为灌木林地的土地损毁区域，选择裸根的红柳，株行距1×2m，栽植穴规格要求为120cm×120cm，先回填一些熟土后进行种植栽植。苗木栽植后，及时浇透一次定根水，以确保苗木的成活。另外，应加强苗木管护，根据气候条件及降水量，适时浇水或排水，防止苗木因体内过量水分损失或土壤积水而死亡。采用机械洒水时，不得直接冲击地表，以防对地面造成冲刷，另一方面，应根据树种特点，监测并防治病虫害、鼠害，土球直径平均约20cm，冠幅为80cm，种植红柳492株。</w:t>
            </w:r>
          </w:p>
          <w:p>
            <w:pPr>
              <w:pStyle w:val="66"/>
              <w:ind w:firstLine="420" w:firstLineChars="200"/>
              <w:jc w:val="both"/>
            </w:pPr>
            <w:r>
              <w:rPr>
                <w:rFonts w:hint="eastAsia"/>
              </w:rPr>
              <w:t>复垦方向为后备耕地的区域，施工结束通过工程措施使损毁区域复垦到符合植被恢复条件，在雨季一次性撒播草种，进行自然恢复，草籽选择芨芨草、骆驼刺、盐爪爪，混播1：1：1，撒播量为30kg/hm</w:t>
            </w:r>
            <w:r>
              <w:rPr>
                <w:rFonts w:hint="eastAsia"/>
                <w:vertAlign w:val="superscript"/>
              </w:rPr>
              <w:t>2</w:t>
            </w:r>
            <w:r>
              <w:rPr>
                <w:rFonts w:hint="eastAsia"/>
              </w:rPr>
              <w:t>，播撒面积为0.0004公顷，播撒总量为0.012千克。</w:t>
            </w:r>
          </w:p>
          <w:p>
            <w:pPr>
              <w:pStyle w:val="66"/>
              <w:ind w:firstLine="420" w:firstLineChars="200"/>
              <w:jc w:val="both"/>
            </w:pPr>
            <w:r>
              <w:t>（4）</w:t>
            </w:r>
            <w:r>
              <w:rPr>
                <w:rFonts w:hint="eastAsia"/>
              </w:rPr>
              <w:t>地下管线敷设作业（施工基坑）</w:t>
            </w:r>
          </w:p>
          <w:p>
            <w:pPr>
              <w:pStyle w:val="66"/>
              <w:ind w:firstLine="420" w:firstLineChars="200"/>
              <w:jc w:val="both"/>
            </w:pPr>
            <w:r>
              <w:rPr>
                <w:rFonts w:hint="eastAsia"/>
              </w:rPr>
              <w:t>a）表土剥离</w:t>
            </w:r>
          </w:p>
          <w:p>
            <w:pPr>
              <w:pStyle w:val="66"/>
              <w:ind w:firstLine="420" w:firstLineChars="200"/>
              <w:jc w:val="both"/>
            </w:pPr>
            <w:r>
              <w:rPr>
                <w:rFonts w:hint="eastAsia"/>
              </w:rPr>
              <w:t>损毁土地的表土的剥离工作采取分片剥离的方式，用推土机剥离一片就堆放一片，堆放到一定高度再剥离下一片的表层土，要防止一次性剥离造成地表大量的扰动。剥离的表土用于土地复垦时表土覆盖，堆放于便于施工的土地损毁范围内，并对表土进行苫盖措施，不再占用其他土地，堆放高度1.5~3m，采用防尘网防护（施工材料依托主体）防止水土流失，待施工结束后用于表层覆土。表土剥离涉及6020.7立方米。</w:t>
            </w:r>
          </w:p>
          <w:p>
            <w:pPr>
              <w:pStyle w:val="66"/>
              <w:ind w:firstLine="420" w:firstLineChars="200"/>
              <w:jc w:val="both"/>
            </w:pPr>
            <w:r>
              <w:rPr>
                <w:rFonts w:hint="eastAsia"/>
              </w:rPr>
              <w:t>b）地表固化物的清理</w:t>
            </w:r>
          </w:p>
          <w:p>
            <w:pPr>
              <w:pStyle w:val="66"/>
              <w:ind w:firstLine="420" w:firstLineChars="200"/>
              <w:jc w:val="both"/>
            </w:pPr>
            <w:r>
              <w:rPr>
                <w:rFonts w:hint="eastAsia"/>
              </w:rPr>
              <w:t>防洪堤堤基、护角、齿槽临时基坑坑底铺设10cm碎石反滤垫层，待项目主体工程施工结束后，需使用59kW推土机将地表的砂砾石铲除，硬化拆除量为3276.3 m</w:t>
            </w:r>
            <w:r>
              <w:rPr>
                <w:rFonts w:hint="eastAsia"/>
                <w:vertAlign w:val="superscript"/>
              </w:rPr>
              <w:t>3</w:t>
            </w:r>
            <w:r>
              <w:rPr>
                <w:rFonts w:hint="eastAsia"/>
              </w:rPr>
              <w:t>。</w:t>
            </w:r>
          </w:p>
          <w:p>
            <w:pPr>
              <w:pStyle w:val="66"/>
              <w:ind w:firstLine="420" w:firstLineChars="200"/>
              <w:jc w:val="both"/>
            </w:pPr>
            <w:r>
              <w:rPr>
                <w:rFonts w:hint="eastAsia"/>
              </w:rPr>
              <w:t>c）垃圾清运</w:t>
            </w:r>
          </w:p>
          <w:p>
            <w:pPr>
              <w:pStyle w:val="66"/>
              <w:ind w:firstLine="420" w:firstLineChars="200"/>
              <w:jc w:val="both"/>
            </w:pPr>
            <w:r>
              <w:rPr>
                <w:rFonts w:hint="eastAsia"/>
              </w:rPr>
              <w:t>在戈壁料拆除完成后，使用装载机和自卸汽车将拆除的戈壁料运至距离最近的伽师县铁日木乡建筑垃圾填埋场，清运的工程量为3276.3 m</w:t>
            </w:r>
            <w:r>
              <w:rPr>
                <w:rFonts w:hint="eastAsia"/>
                <w:vertAlign w:val="superscript"/>
              </w:rPr>
              <w:t>3</w:t>
            </w:r>
            <w:r>
              <w:rPr>
                <w:rFonts w:hint="eastAsia"/>
              </w:rPr>
              <w:t>。</w:t>
            </w:r>
          </w:p>
          <w:p>
            <w:pPr>
              <w:pStyle w:val="66"/>
              <w:ind w:firstLine="420" w:firstLineChars="200"/>
              <w:jc w:val="both"/>
            </w:pPr>
            <w:r>
              <w:rPr>
                <w:rFonts w:hint="eastAsia"/>
              </w:rPr>
              <w:t>d）土地平整</w:t>
            </w:r>
          </w:p>
          <w:p>
            <w:pPr>
              <w:pStyle w:val="66"/>
              <w:ind w:firstLine="420" w:firstLineChars="200"/>
              <w:jc w:val="both"/>
            </w:pPr>
            <w:r>
              <w:rPr>
                <w:rFonts w:hint="eastAsia"/>
              </w:rPr>
              <w:t>施工便道来往机械车辆对土地造成压占后，使原有的土地形态发生改变，会使土地的表层起伏不平。为保证复垦措施的及时实施，待主体工程施工结束后，以平整单元内部土方挖填平衡为基础，利用推土机对场地进行平整，推平地面高低不平区域，平整后地面坡度达到复垦质量要求，平整平均厚度约5cm，土地平整工程量为1638.15 m</w:t>
            </w:r>
            <w:r>
              <w:rPr>
                <w:rFonts w:hint="eastAsia"/>
                <w:vertAlign w:val="superscript"/>
              </w:rPr>
              <w:t>3</w:t>
            </w:r>
            <w:r>
              <w:rPr>
                <w:rFonts w:hint="eastAsia"/>
              </w:rPr>
              <w:t>。</w:t>
            </w:r>
          </w:p>
          <w:p>
            <w:pPr>
              <w:pStyle w:val="66"/>
              <w:ind w:firstLine="420" w:firstLineChars="200"/>
              <w:jc w:val="both"/>
            </w:pPr>
            <w:r>
              <w:rPr>
                <w:rFonts w:hint="eastAsia"/>
              </w:rPr>
              <w:t>e）表土回覆</w:t>
            </w:r>
          </w:p>
          <w:p>
            <w:pPr>
              <w:pStyle w:val="66"/>
              <w:ind w:firstLine="420" w:firstLineChars="200"/>
              <w:jc w:val="both"/>
            </w:pPr>
            <w:r>
              <w:rPr>
                <w:rFonts w:hint="eastAsia"/>
              </w:rPr>
              <w:t>针对复垦方向为林地的区域，在土地平整后需利用推土机将建设前期剥离的表土回覆在疏松后的地表上，作为表层土壤，为农作物的种植创造土壤条件，覆盖时注意尽量使表土分布均匀，有利于农作物的生长。覆土来源主要为临时用地前期剥离的表土，覆土时应保证覆土厚度不低于30cm，具体实施时可根据实际情况确定，原则上不小于前期剥离的厚度。依此设计测算，覆土面积为2.0069hm</w:t>
            </w:r>
            <w:r>
              <w:rPr>
                <w:rFonts w:hint="eastAsia"/>
                <w:vertAlign w:val="superscript"/>
              </w:rPr>
              <w:t>2</w:t>
            </w:r>
            <w:r>
              <w:rPr>
                <w:rFonts w:hint="eastAsia"/>
              </w:rPr>
              <w:t>，覆土厚度为30cm，覆土工程量为6020.7m</w:t>
            </w:r>
            <w:r>
              <w:rPr>
                <w:rFonts w:hint="eastAsia"/>
                <w:vertAlign w:val="superscript"/>
              </w:rPr>
              <w:t>3</w:t>
            </w:r>
            <w:r>
              <w:rPr>
                <w:rFonts w:hint="eastAsia"/>
              </w:rPr>
              <w:t>。</w:t>
            </w:r>
          </w:p>
          <w:p>
            <w:pPr>
              <w:pStyle w:val="66"/>
              <w:ind w:firstLine="420" w:firstLineChars="200"/>
              <w:jc w:val="both"/>
            </w:pPr>
            <w:r>
              <w:rPr>
                <w:rFonts w:hint="eastAsia"/>
              </w:rPr>
              <w:t>f）土壤培肥</w:t>
            </w:r>
          </w:p>
          <w:p>
            <w:pPr>
              <w:pStyle w:val="66"/>
              <w:ind w:firstLine="420" w:firstLineChars="200"/>
              <w:jc w:val="both"/>
            </w:pPr>
            <w:r>
              <w:rPr>
                <w:rFonts w:hint="eastAsia"/>
              </w:rPr>
              <w:t>由于在施工过程中受到人工扰动比较大，原有土壤结构遭到破坏，造成了土地肥力降低。为快速有效地提高林地质量，本方案针对复垦为林地的区域采取土壤改良与培肥措施，即在土地翻耕时采用撒施的方式将有机-无机复合肥撒于土壤表层，然后再覆土，从而增加土壤有机质和养分含量，改良土壤性状，提高土壤肥力，其中林地施肥量为750kg/hm</w:t>
            </w:r>
            <w:r>
              <w:rPr>
                <w:rFonts w:hint="eastAsia"/>
                <w:vertAlign w:val="superscript"/>
              </w:rPr>
              <w:t>2</w:t>
            </w:r>
            <w:r>
              <w:rPr>
                <w:rFonts w:hint="eastAsia"/>
              </w:rPr>
              <w:t>，则需要复合肥：1.505t。</w:t>
            </w:r>
          </w:p>
          <w:p>
            <w:pPr>
              <w:pStyle w:val="66"/>
              <w:ind w:firstLine="420" w:firstLineChars="200"/>
              <w:jc w:val="both"/>
            </w:pPr>
            <w:r>
              <w:rPr>
                <w:rFonts w:hint="eastAsia"/>
              </w:rPr>
              <w:t>g）植被重建</w:t>
            </w:r>
          </w:p>
          <w:p>
            <w:pPr>
              <w:pStyle w:val="66"/>
              <w:ind w:firstLine="420" w:firstLineChars="200"/>
              <w:jc w:val="both"/>
            </w:pPr>
            <w:r>
              <w:rPr>
                <w:rFonts w:hint="eastAsia"/>
              </w:rPr>
              <w:t>在整平、覆土改造的基础上，选取的主要植物种进行植被重建，本复垦单元植物工程措施如下：</w:t>
            </w:r>
          </w:p>
          <w:p>
            <w:pPr>
              <w:pStyle w:val="66"/>
              <w:ind w:firstLine="420" w:firstLineChars="200"/>
              <w:jc w:val="both"/>
            </w:pPr>
            <w:r>
              <w:rPr>
                <w:rFonts w:hint="eastAsia"/>
              </w:rPr>
              <w:t>复垦方向为灌木林地的土地损毁区域，选择裸根的红柳，株行距1×2m，栽植穴规格要求为120cm×120cm，先回填一些熟土后进行种植栽植。苗木栽植后，及时浇透一次定根水，以确保苗木的成活。另外，应加强苗木管护，根据气候条件及降水量，适时浇水或排水，防止苗木因体内过量水分损失或土壤积水而死亡。采用机械洒水时，不得直接冲击地表，以防对地面造成冲刷，另一方面，应根据树种特点，监测并防治病虫害、鼠害，土球直径平均约20cm，冠幅为80cm，种植红柳10035株。</w:t>
            </w:r>
          </w:p>
          <w:p>
            <w:pPr>
              <w:pStyle w:val="66"/>
              <w:ind w:firstLine="420" w:firstLineChars="200"/>
              <w:jc w:val="both"/>
            </w:pPr>
            <w:r>
              <w:t>3.土地复垦工作计划</w:t>
            </w:r>
          </w:p>
          <w:p>
            <w:pPr>
              <w:pStyle w:val="66"/>
              <w:ind w:firstLine="420" w:firstLineChars="200"/>
              <w:jc w:val="both"/>
            </w:pPr>
            <w:r>
              <w:rPr>
                <w:rFonts w:hint="eastAsia"/>
              </w:rPr>
              <w:t>第一阶段：防洪堤工程施工，相应的材料堆场（临时围堰）、材料堆场、施工便道和地下管线敷设作业（施工基坑）等陆续开始投入使用。随着施工进度的推进，损毁范围不断扩大，待主体工程完成，根据统一复垦的原则，对使用完毕的损毁土地采取相应的工程技术措施及生物和化学措施，主要针对临时施工占地区域机械拆除砂石垫层及外运、土壤回覆、土地平整、土壤培肥及苗木栽植等。</w:t>
            </w:r>
          </w:p>
          <w:p>
            <w:pPr>
              <w:pStyle w:val="66"/>
              <w:ind w:firstLine="420" w:firstLineChars="200"/>
              <w:jc w:val="both"/>
            </w:pPr>
            <w:r>
              <w:rPr>
                <w:rFonts w:hint="eastAsia"/>
              </w:rPr>
              <w:t>第二阶段：主要对复垦的林地、草地在管护期内进行补植树苗、补撒草籽和洒水管护等，同时对复垦的林地、草地采取相应的复垦效果监测措施。</w:t>
            </w:r>
          </w:p>
          <w:p>
            <w:pPr>
              <w:pStyle w:val="66"/>
              <w:ind w:firstLine="420" w:firstLineChars="200"/>
              <w:jc w:val="both"/>
            </w:pPr>
            <w:r>
              <w:t>4.土地复垦保障措施</w:t>
            </w:r>
          </w:p>
          <w:p>
            <w:pPr>
              <w:pStyle w:val="66"/>
              <w:ind w:firstLine="420" w:firstLineChars="200"/>
              <w:jc w:val="both"/>
            </w:pPr>
            <w:r>
              <w:t>（1）喀什噶尔河克孜河伽师县贝纳木南岸防洪工程（K162+250～K165+850段）临时用地土地复垦设立土地复垦实施管理机构，全面负责本方案土地复垦工作，设置专职工作人员1至2人。</w:t>
            </w:r>
          </w:p>
          <w:p>
            <w:pPr>
              <w:pStyle w:val="66"/>
              <w:ind w:firstLine="420" w:firstLineChars="200"/>
              <w:jc w:val="both"/>
            </w:pPr>
            <w:r>
              <w:t>（2）制定复垦方案实施的领导责任制，制定内部自我检查、监督制，杜绝边复垦、边损毁的现象发生。</w:t>
            </w:r>
          </w:p>
          <w:p>
            <w:pPr>
              <w:pStyle w:val="66"/>
              <w:ind w:firstLine="420" w:firstLineChars="200"/>
              <w:jc w:val="both"/>
            </w:pPr>
            <w:r>
              <w:t>（3）根据《土地复垦条例》（国务院令〔2011〕第592号）第3条和第15条规定，本项目建设单位伽师县水管总站全部承担临时用地项目建设工程的土地复垦费用并将其计入项目建设总投资。</w:t>
            </w:r>
          </w:p>
          <w:p>
            <w:pPr>
              <w:pStyle w:val="66"/>
              <w:ind w:firstLine="420" w:firstLineChars="200"/>
              <w:jc w:val="both"/>
            </w:pPr>
            <w:r>
              <w:t>（4）由伽师县水管总站、银行、伽师县自然资源局、疏勒县自然资源局、喀什市自然资源局建立土地复垦专用账户，专用账户按照“政府监管，专户存储、专款专用”的原则管理。</w:t>
            </w:r>
          </w:p>
          <w:p>
            <w:pPr>
              <w:pStyle w:val="66"/>
              <w:ind w:firstLine="420" w:firstLineChars="200"/>
              <w:jc w:val="both"/>
            </w:pPr>
            <w:r>
              <w:t>（5）建立土地复垦方案编制与实施的公众全程参与机制，以问卷调查、座谈会、公示公告等方式，积极征求当地专家领导及相关部门的意见建议。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5607" w:hRule="atLeast"/>
          <w:jc w:val="center"/>
        </w:trPr>
        <w:tc>
          <w:tcPr>
            <w:tcW w:w="827" w:type="dxa"/>
            <w:vMerge w:val="restart"/>
            <w:tcBorders>
              <w:tl2br w:val="nil"/>
              <w:tr2bl w:val="nil"/>
            </w:tcBorders>
            <w:vAlign w:val="center"/>
          </w:tcPr>
          <w:p>
            <w:pPr>
              <w:pStyle w:val="66"/>
            </w:pPr>
            <w:r>
              <w:t>投资估算</w:t>
            </w:r>
          </w:p>
        </w:tc>
        <w:tc>
          <w:tcPr>
            <w:tcW w:w="1427" w:type="dxa"/>
            <w:gridSpan w:val="2"/>
            <w:tcBorders>
              <w:tl2br w:val="nil"/>
              <w:tr2bl w:val="nil"/>
            </w:tcBorders>
            <w:vAlign w:val="center"/>
          </w:tcPr>
          <w:p>
            <w:pPr>
              <w:pStyle w:val="66"/>
            </w:pPr>
            <w:r>
              <w:t>测算依据</w:t>
            </w:r>
          </w:p>
        </w:tc>
        <w:tc>
          <w:tcPr>
            <w:tcW w:w="6029" w:type="dxa"/>
            <w:gridSpan w:val="10"/>
            <w:tcBorders>
              <w:tl2br w:val="nil"/>
              <w:tr2bl w:val="nil"/>
            </w:tcBorders>
            <w:vAlign w:val="center"/>
          </w:tcPr>
          <w:p>
            <w:pPr>
              <w:pStyle w:val="66"/>
              <w:ind w:firstLine="420" w:firstLineChars="200"/>
              <w:jc w:val="both"/>
            </w:pPr>
            <w:r>
              <w:t>a）《土地复垦方案编制规程》（TD/T1031.1-2011）；</w:t>
            </w:r>
          </w:p>
          <w:p>
            <w:pPr>
              <w:pStyle w:val="66"/>
              <w:ind w:firstLine="420" w:firstLineChars="200"/>
              <w:jc w:val="both"/>
            </w:pPr>
            <w:r>
              <w:t>b）《土地开发整理项目预算编制规定》；</w:t>
            </w:r>
          </w:p>
          <w:p>
            <w:pPr>
              <w:pStyle w:val="66"/>
              <w:ind w:firstLine="420" w:firstLineChars="200"/>
              <w:jc w:val="both"/>
            </w:pPr>
            <w:r>
              <w:t>c）《土地开发整理项目预算定额》；</w:t>
            </w:r>
          </w:p>
          <w:p>
            <w:pPr>
              <w:pStyle w:val="66"/>
              <w:ind w:firstLine="420" w:firstLineChars="200"/>
              <w:jc w:val="both"/>
            </w:pPr>
            <w:r>
              <w:t>d）《土地开发整理项目施工机械台班费定额》；</w:t>
            </w:r>
          </w:p>
          <w:p>
            <w:pPr>
              <w:pStyle w:val="66"/>
              <w:ind w:firstLine="420" w:firstLineChars="200"/>
              <w:jc w:val="both"/>
            </w:pPr>
            <w:r>
              <w:t>e）《土地复垦方案编制实务》；</w:t>
            </w:r>
          </w:p>
          <w:p>
            <w:pPr>
              <w:pStyle w:val="66"/>
              <w:ind w:firstLine="420" w:firstLineChars="200"/>
              <w:jc w:val="both"/>
            </w:pPr>
            <w:r>
              <w:t>f）《</w:t>
            </w:r>
            <w:r>
              <w:rPr>
                <w:rFonts w:hint="eastAsia"/>
                <w:lang w:val="en-US" w:eastAsia="zh-CN"/>
              </w:rPr>
              <w:t>财政部 国土资源部</w:t>
            </w:r>
            <w:r>
              <w:t>关于印发土地开发整理项目预算定额标准的通知》，财综〔2011〕128号；</w:t>
            </w:r>
          </w:p>
          <w:p>
            <w:pPr>
              <w:pStyle w:val="66"/>
              <w:ind w:firstLine="420" w:firstLineChars="200"/>
              <w:jc w:val="both"/>
            </w:pPr>
            <w:r>
              <w:t>g）《关于加强基本建设大中型项目概算中</w:t>
            </w:r>
            <w:r>
              <w:rPr>
                <w:rFonts w:ascii="仿宋" w:hAnsi="仿宋"/>
              </w:rPr>
              <w:t>“价差预备费”管</w:t>
            </w:r>
            <w:r>
              <w:t>理的有关通知》（计投资﹝1999﹞1340号）；</w:t>
            </w:r>
          </w:p>
          <w:p>
            <w:pPr>
              <w:pStyle w:val="66"/>
              <w:ind w:firstLine="420" w:firstLineChars="200"/>
              <w:jc w:val="both"/>
            </w:pPr>
            <w:r>
              <w:t>h）《关于调整我区建设工程计价依据增值税税率的通知》（新建标〔2019〕4号）；</w:t>
            </w:r>
          </w:p>
          <w:p>
            <w:pPr>
              <w:pStyle w:val="66"/>
              <w:ind w:firstLine="420" w:firstLineChars="200"/>
              <w:jc w:val="both"/>
            </w:pPr>
            <w:r>
              <w:t>i）《新疆维吾尔自治区土地整治项目补充预算定额（试行）》（新财综〔2019〕1号）；</w:t>
            </w:r>
          </w:p>
          <w:p>
            <w:pPr>
              <w:pStyle w:val="66"/>
              <w:ind w:firstLine="420" w:firstLineChars="200"/>
              <w:jc w:val="both"/>
            </w:pPr>
            <w:r>
              <w:t>j）</w:t>
            </w:r>
            <w:r>
              <w:rPr>
                <w:rFonts w:hint="eastAsia"/>
              </w:rPr>
              <w:t>《水利工程设计概（估）算编制规定》（水总〔2024〕323号）</w:t>
            </w:r>
            <w:r>
              <w:t>；</w:t>
            </w:r>
          </w:p>
          <w:p>
            <w:pPr>
              <w:pStyle w:val="66"/>
              <w:ind w:firstLine="420" w:firstLineChars="200"/>
              <w:jc w:val="both"/>
            </w:pPr>
            <w:r>
              <w:t>k）新疆工程建设标准造价信息网发布的2026年4月喀什地区定额材料价格以及实地调查价格。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restart"/>
            <w:tcBorders>
              <w:tl2br w:val="nil"/>
              <w:tr2bl w:val="nil"/>
            </w:tcBorders>
            <w:vAlign w:val="center"/>
          </w:tcPr>
          <w:p>
            <w:pPr>
              <w:pStyle w:val="66"/>
            </w:pPr>
            <w:r>
              <w:t>费用构成</w:t>
            </w:r>
          </w:p>
        </w:tc>
        <w:tc>
          <w:tcPr>
            <w:tcW w:w="896" w:type="dxa"/>
            <w:tcBorders>
              <w:tl2br w:val="nil"/>
              <w:tr2bl w:val="nil"/>
            </w:tcBorders>
            <w:vAlign w:val="center"/>
          </w:tcPr>
          <w:p>
            <w:pPr>
              <w:pStyle w:val="66"/>
            </w:pPr>
            <w:r>
              <w:t>序号</w:t>
            </w:r>
          </w:p>
        </w:tc>
        <w:tc>
          <w:tcPr>
            <w:tcW w:w="1888" w:type="dxa"/>
            <w:gridSpan w:val="3"/>
            <w:tcBorders>
              <w:tl2br w:val="nil"/>
              <w:tr2bl w:val="nil"/>
            </w:tcBorders>
            <w:vAlign w:val="center"/>
          </w:tcPr>
          <w:p>
            <w:pPr>
              <w:pStyle w:val="66"/>
            </w:pPr>
            <w:r>
              <w:t>工程或费用名称</w:t>
            </w:r>
          </w:p>
        </w:tc>
        <w:tc>
          <w:tcPr>
            <w:tcW w:w="1875" w:type="dxa"/>
            <w:gridSpan w:val="4"/>
            <w:tcBorders>
              <w:tl2br w:val="nil"/>
              <w:tr2bl w:val="nil"/>
            </w:tcBorders>
            <w:vAlign w:val="center"/>
          </w:tcPr>
          <w:p>
            <w:pPr>
              <w:pStyle w:val="66"/>
            </w:pPr>
            <w:r>
              <w:t>费用（万元）</w:t>
            </w:r>
          </w:p>
        </w:tc>
        <w:tc>
          <w:tcPr>
            <w:tcW w:w="1370" w:type="dxa"/>
            <w:gridSpan w:val="2"/>
            <w:tcBorders>
              <w:tl2br w:val="nil"/>
              <w:tr2bl w:val="nil"/>
            </w:tcBorders>
            <w:vAlign w:val="center"/>
          </w:tcPr>
          <w:p>
            <w:pPr>
              <w:pStyle w:val="66"/>
            </w:pPr>
            <w:r>
              <w:rPr>
                <w:rFonts w:hint="eastAsia"/>
              </w:rPr>
              <w:t>比例</w:t>
            </w:r>
            <w: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1</w:t>
            </w:r>
          </w:p>
        </w:tc>
        <w:tc>
          <w:tcPr>
            <w:tcW w:w="1888" w:type="dxa"/>
            <w:gridSpan w:val="3"/>
            <w:tcBorders>
              <w:tl2br w:val="nil"/>
              <w:tr2bl w:val="nil"/>
            </w:tcBorders>
            <w:vAlign w:val="center"/>
          </w:tcPr>
          <w:p>
            <w:pPr>
              <w:pStyle w:val="66"/>
            </w:pPr>
            <w:r>
              <w:t>工程施工费</w:t>
            </w:r>
          </w:p>
        </w:tc>
        <w:tc>
          <w:tcPr>
            <w:tcW w:w="1875" w:type="dxa"/>
            <w:gridSpan w:val="4"/>
            <w:tcBorders>
              <w:tl2br w:val="nil"/>
              <w:tr2bl w:val="nil"/>
            </w:tcBorders>
            <w:vAlign w:val="center"/>
          </w:tcPr>
          <w:p>
            <w:pPr>
              <w:pStyle w:val="66"/>
            </w:pPr>
            <w:r>
              <w:t>66.49</w:t>
            </w:r>
          </w:p>
        </w:tc>
        <w:tc>
          <w:tcPr>
            <w:tcW w:w="1370" w:type="dxa"/>
            <w:gridSpan w:val="2"/>
            <w:tcBorders>
              <w:tl2br w:val="nil"/>
              <w:tr2bl w:val="nil"/>
            </w:tcBorders>
            <w:vAlign w:val="center"/>
          </w:tcPr>
          <w:p>
            <w:pPr>
              <w:pStyle w:val="66"/>
            </w:pPr>
            <w:r>
              <w:t>78.86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2</w:t>
            </w:r>
          </w:p>
        </w:tc>
        <w:tc>
          <w:tcPr>
            <w:tcW w:w="1888" w:type="dxa"/>
            <w:gridSpan w:val="3"/>
            <w:tcBorders>
              <w:tl2br w:val="nil"/>
              <w:tr2bl w:val="nil"/>
            </w:tcBorders>
            <w:vAlign w:val="center"/>
          </w:tcPr>
          <w:p>
            <w:pPr>
              <w:pStyle w:val="66"/>
            </w:pPr>
            <w:r>
              <w:t>设备费</w:t>
            </w:r>
          </w:p>
        </w:tc>
        <w:tc>
          <w:tcPr>
            <w:tcW w:w="1875" w:type="dxa"/>
            <w:gridSpan w:val="4"/>
            <w:tcBorders>
              <w:tl2br w:val="nil"/>
              <w:tr2bl w:val="nil"/>
            </w:tcBorders>
            <w:vAlign w:val="center"/>
          </w:tcPr>
          <w:p>
            <w:pPr>
              <w:pStyle w:val="66"/>
            </w:pPr>
            <w:r>
              <w:t>　</w:t>
            </w:r>
          </w:p>
        </w:tc>
        <w:tc>
          <w:tcPr>
            <w:tcW w:w="1370" w:type="dxa"/>
            <w:gridSpan w:val="2"/>
            <w:tcBorders>
              <w:tl2br w:val="nil"/>
              <w:tr2bl w:val="nil"/>
            </w:tcBorders>
            <w:vAlign w:val="center"/>
          </w:tcPr>
          <w:p>
            <w:pPr>
              <w:pStyle w:val="66"/>
            </w:pPr>
            <w: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3</w:t>
            </w:r>
          </w:p>
        </w:tc>
        <w:tc>
          <w:tcPr>
            <w:tcW w:w="1888" w:type="dxa"/>
            <w:gridSpan w:val="3"/>
            <w:tcBorders>
              <w:tl2br w:val="nil"/>
              <w:tr2bl w:val="nil"/>
            </w:tcBorders>
            <w:vAlign w:val="center"/>
          </w:tcPr>
          <w:p>
            <w:pPr>
              <w:pStyle w:val="66"/>
            </w:pPr>
            <w:r>
              <w:t>其他费用</w:t>
            </w:r>
          </w:p>
        </w:tc>
        <w:tc>
          <w:tcPr>
            <w:tcW w:w="1875" w:type="dxa"/>
            <w:gridSpan w:val="4"/>
            <w:tcBorders>
              <w:tl2br w:val="nil"/>
              <w:tr2bl w:val="nil"/>
            </w:tcBorders>
            <w:vAlign w:val="center"/>
          </w:tcPr>
          <w:p>
            <w:pPr>
              <w:pStyle w:val="66"/>
            </w:pPr>
            <w:r>
              <w:t>8.44</w:t>
            </w:r>
          </w:p>
        </w:tc>
        <w:tc>
          <w:tcPr>
            <w:tcW w:w="1370" w:type="dxa"/>
            <w:gridSpan w:val="2"/>
            <w:tcBorders>
              <w:tl2br w:val="nil"/>
              <w:tr2bl w:val="nil"/>
            </w:tcBorders>
            <w:vAlign w:val="center"/>
          </w:tcPr>
          <w:p>
            <w:pPr>
              <w:pStyle w:val="66"/>
            </w:pPr>
            <w:r>
              <w:t>10.01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4</w:t>
            </w:r>
          </w:p>
        </w:tc>
        <w:tc>
          <w:tcPr>
            <w:tcW w:w="1888" w:type="dxa"/>
            <w:gridSpan w:val="3"/>
            <w:tcBorders>
              <w:tl2br w:val="nil"/>
              <w:tr2bl w:val="nil"/>
            </w:tcBorders>
            <w:vAlign w:val="center"/>
          </w:tcPr>
          <w:p>
            <w:pPr>
              <w:pStyle w:val="66"/>
            </w:pPr>
            <w:r>
              <w:t>监测与管护费</w:t>
            </w:r>
          </w:p>
        </w:tc>
        <w:tc>
          <w:tcPr>
            <w:tcW w:w="1875" w:type="dxa"/>
            <w:gridSpan w:val="4"/>
            <w:tcBorders>
              <w:tl2br w:val="nil"/>
              <w:tr2bl w:val="nil"/>
            </w:tcBorders>
            <w:vAlign w:val="center"/>
          </w:tcPr>
          <w:p>
            <w:pPr>
              <w:pStyle w:val="66"/>
            </w:pPr>
            <w:r>
              <w:t>7.13</w:t>
            </w:r>
          </w:p>
        </w:tc>
        <w:tc>
          <w:tcPr>
            <w:tcW w:w="1370" w:type="dxa"/>
            <w:gridSpan w:val="2"/>
            <w:tcBorders>
              <w:tl2br w:val="nil"/>
              <w:tr2bl w:val="nil"/>
            </w:tcBorders>
            <w:vAlign w:val="center"/>
          </w:tcPr>
          <w:p>
            <w:pPr>
              <w:pStyle w:val="66"/>
            </w:pPr>
            <w:r>
              <w:t>8.46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（1）</w:t>
            </w:r>
          </w:p>
        </w:tc>
        <w:tc>
          <w:tcPr>
            <w:tcW w:w="1888" w:type="dxa"/>
            <w:gridSpan w:val="3"/>
            <w:tcBorders>
              <w:tl2br w:val="nil"/>
              <w:tr2bl w:val="nil"/>
            </w:tcBorders>
            <w:vAlign w:val="center"/>
          </w:tcPr>
          <w:p>
            <w:pPr>
              <w:pStyle w:val="66"/>
            </w:pPr>
            <w:r>
              <w:t>复垦监测费</w:t>
            </w:r>
          </w:p>
        </w:tc>
        <w:tc>
          <w:tcPr>
            <w:tcW w:w="1875" w:type="dxa"/>
            <w:gridSpan w:val="4"/>
            <w:tcBorders>
              <w:tl2br w:val="nil"/>
              <w:tr2bl w:val="nil"/>
            </w:tcBorders>
            <w:vAlign w:val="center"/>
          </w:tcPr>
          <w:p>
            <w:pPr>
              <w:pStyle w:val="66"/>
            </w:pPr>
            <w:r>
              <w:t>0.54</w:t>
            </w:r>
          </w:p>
        </w:tc>
        <w:tc>
          <w:tcPr>
            <w:tcW w:w="1370" w:type="dxa"/>
            <w:gridSpan w:val="2"/>
            <w:tcBorders>
              <w:tl2br w:val="nil"/>
              <w:tr2bl w:val="nil"/>
            </w:tcBorders>
            <w:vAlign w:val="center"/>
          </w:tcPr>
          <w:p>
            <w:pPr>
              <w:pStyle w:val="66"/>
            </w:pPr>
            <w:r>
              <w:t>0.64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（2）</w:t>
            </w:r>
          </w:p>
        </w:tc>
        <w:tc>
          <w:tcPr>
            <w:tcW w:w="1888" w:type="dxa"/>
            <w:gridSpan w:val="3"/>
            <w:tcBorders>
              <w:tl2br w:val="nil"/>
              <w:tr2bl w:val="nil"/>
            </w:tcBorders>
            <w:vAlign w:val="center"/>
          </w:tcPr>
          <w:p>
            <w:pPr>
              <w:pStyle w:val="66"/>
            </w:pPr>
            <w:r>
              <w:t>管护费</w:t>
            </w:r>
          </w:p>
        </w:tc>
        <w:tc>
          <w:tcPr>
            <w:tcW w:w="1875" w:type="dxa"/>
            <w:gridSpan w:val="4"/>
            <w:tcBorders>
              <w:tl2br w:val="nil"/>
              <w:tr2bl w:val="nil"/>
            </w:tcBorders>
            <w:vAlign w:val="center"/>
          </w:tcPr>
          <w:p>
            <w:pPr>
              <w:pStyle w:val="66"/>
            </w:pPr>
            <w:r>
              <w:t>6.59</w:t>
            </w:r>
          </w:p>
        </w:tc>
        <w:tc>
          <w:tcPr>
            <w:tcW w:w="1370" w:type="dxa"/>
            <w:gridSpan w:val="2"/>
            <w:tcBorders>
              <w:tl2br w:val="nil"/>
              <w:tr2bl w:val="nil"/>
            </w:tcBorders>
            <w:vAlign w:val="center"/>
          </w:tcPr>
          <w:p>
            <w:pPr>
              <w:pStyle w:val="66"/>
            </w:pPr>
            <w:r>
              <w:t>7.82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5</w:t>
            </w:r>
          </w:p>
        </w:tc>
        <w:tc>
          <w:tcPr>
            <w:tcW w:w="1888" w:type="dxa"/>
            <w:gridSpan w:val="3"/>
            <w:tcBorders>
              <w:tl2br w:val="nil"/>
              <w:tr2bl w:val="nil"/>
            </w:tcBorders>
            <w:vAlign w:val="center"/>
          </w:tcPr>
          <w:p>
            <w:pPr>
              <w:pStyle w:val="66"/>
            </w:pPr>
            <w:r>
              <w:t>预备费</w:t>
            </w:r>
          </w:p>
        </w:tc>
        <w:tc>
          <w:tcPr>
            <w:tcW w:w="1875" w:type="dxa"/>
            <w:gridSpan w:val="4"/>
            <w:tcBorders>
              <w:tl2br w:val="nil"/>
              <w:tr2bl w:val="nil"/>
            </w:tcBorders>
            <w:vAlign w:val="center"/>
          </w:tcPr>
          <w:p>
            <w:pPr>
              <w:pStyle w:val="66"/>
            </w:pPr>
            <w:r>
              <w:t>2.25</w:t>
            </w:r>
          </w:p>
        </w:tc>
        <w:tc>
          <w:tcPr>
            <w:tcW w:w="1370" w:type="dxa"/>
            <w:gridSpan w:val="2"/>
            <w:tcBorders>
              <w:tl2br w:val="nil"/>
              <w:tr2bl w:val="nil"/>
            </w:tcBorders>
            <w:vAlign w:val="center"/>
          </w:tcPr>
          <w:p>
            <w:pPr>
              <w:pStyle w:val="66"/>
            </w:pPr>
            <w:r>
              <w:t>2.67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（1）</w:t>
            </w:r>
          </w:p>
        </w:tc>
        <w:tc>
          <w:tcPr>
            <w:tcW w:w="1888" w:type="dxa"/>
            <w:gridSpan w:val="3"/>
            <w:tcBorders>
              <w:tl2br w:val="nil"/>
              <w:tr2bl w:val="nil"/>
            </w:tcBorders>
            <w:vAlign w:val="center"/>
          </w:tcPr>
          <w:p>
            <w:pPr>
              <w:pStyle w:val="66"/>
            </w:pPr>
            <w:r>
              <w:t>基本预备费</w:t>
            </w:r>
          </w:p>
        </w:tc>
        <w:tc>
          <w:tcPr>
            <w:tcW w:w="1875" w:type="dxa"/>
            <w:gridSpan w:val="4"/>
            <w:tcBorders>
              <w:tl2br w:val="nil"/>
              <w:tr2bl w:val="nil"/>
            </w:tcBorders>
            <w:vAlign w:val="center"/>
          </w:tcPr>
          <w:p>
            <w:pPr>
              <w:pStyle w:val="66"/>
            </w:pPr>
            <w:r>
              <w:t>2.25</w:t>
            </w:r>
          </w:p>
        </w:tc>
        <w:tc>
          <w:tcPr>
            <w:tcW w:w="1370" w:type="dxa"/>
            <w:gridSpan w:val="2"/>
            <w:tcBorders>
              <w:tl2br w:val="nil"/>
              <w:tr2bl w:val="nil"/>
            </w:tcBorders>
            <w:vAlign w:val="center"/>
          </w:tcPr>
          <w:p>
            <w:pPr>
              <w:pStyle w:val="66"/>
            </w:pPr>
            <w:r>
              <w:t>2.67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（2）</w:t>
            </w:r>
          </w:p>
        </w:tc>
        <w:tc>
          <w:tcPr>
            <w:tcW w:w="1888" w:type="dxa"/>
            <w:gridSpan w:val="3"/>
            <w:tcBorders>
              <w:tl2br w:val="nil"/>
              <w:tr2bl w:val="nil"/>
            </w:tcBorders>
            <w:vAlign w:val="center"/>
          </w:tcPr>
          <w:p>
            <w:pPr>
              <w:pStyle w:val="66"/>
            </w:pPr>
            <w:r>
              <w:t>价差预备费</w:t>
            </w:r>
          </w:p>
        </w:tc>
        <w:tc>
          <w:tcPr>
            <w:tcW w:w="1875" w:type="dxa"/>
            <w:gridSpan w:val="4"/>
            <w:tcBorders>
              <w:tl2br w:val="nil"/>
              <w:tr2bl w:val="nil"/>
            </w:tcBorders>
            <w:vAlign w:val="center"/>
          </w:tcPr>
          <w:p>
            <w:pPr>
              <w:pStyle w:val="66"/>
            </w:pPr>
            <w:r>
              <w:t>　</w:t>
            </w:r>
          </w:p>
        </w:tc>
        <w:tc>
          <w:tcPr>
            <w:tcW w:w="1370" w:type="dxa"/>
            <w:gridSpan w:val="2"/>
            <w:tcBorders>
              <w:tl2br w:val="nil"/>
              <w:tr2bl w:val="nil"/>
            </w:tcBorders>
            <w:vAlign w:val="center"/>
          </w:tcPr>
          <w:p>
            <w:pPr>
              <w:pStyle w:val="66"/>
            </w:pPr>
            <w: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312" w:hRule="atLeast"/>
          <w:jc w:val="center"/>
        </w:trPr>
        <w:tc>
          <w:tcPr>
            <w:tcW w:w="827" w:type="dxa"/>
            <w:vMerge w:val="continue"/>
            <w:tcBorders>
              <w:tl2br w:val="nil"/>
              <w:tr2bl w:val="nil"/>
            </w:tcBorders>
            <w:vAlign w:val="center"/>
          </w:tcPr>
          <w:p>
            <w:pPr>
              <w:pStyle w:val="66"/>
            </w:pPr>
          </w:p>
        </w:tc>
        <w:tc>
          <w:tcPr>
            <w:tcW w:w="1427" w:type="dxa"/>
            <w:gridSpan w:val="2"/>
            <w:vMerge w:val="continue"/>
            <w:tcBorders>
              <w:tl2br w:val="nil"/>
              <w:tr2bl w:val="nil"/>
            </w:tcBorders>
            <w:vAlign w:val="center"/>
          </w:tcPr>
          <w:p>
            <w:pPr>
              <w:pStyle w:val="66"/>
            </w:pPr>
          </w:p>
        </w:tc>
        <w:tc>
          <w:tcPr>
            <w:tcW w:w="896" w:type="dxa"/>
            <w:tcBorders>
              <w:tl2br w:val="nil"/>
              <w:tr2bl w:val="nil"/>
            </w:tcBorders>
            <w:vAlign w:val="center"/>
          </w:tcPr>
          <w:p>
            <w:pPr>
              <w:pStyle w:val="66"/>
            </w:pPr>
            <w:r>
              <w:t>6</w:t>
            </w:r>
          </w:p>
        </w:tc>
        <w:tc>
          <w:tcPr>
            <w:tcW w:w="1888" w:type="dxa"/>
            <w:gridSpan w:val="3"/>
            <w:tcBorders>
              <w:tl2br w:val="nil"/>
              <w:tr2bl w:val="nil"/>
            </w:tcBorders>
            <w:vAlign w:val="center"/>
          </w:tcPr>
          <w:p>
            <w:pPr>
              <w:pStyle w:val="66"/>
            </w:pPr>
            <w:r>
              <w:t>静态总投资</w:t>
            </w:r>
          </w:p>
        </w:tc>
        <w:tc>
          <w:tcPr>
            <w:tcW w:w="1875" w:type="dxa"/>
            <w:gridSpan w:val="4"/>
            <w:tcBorders>
              <w:tl2br w:val="nil"/>
              <w:tr2bl w:val="nil"/>
            </w:tcBorders>
            <w:vAlign w:val="center"/>
          </w:tcPr>
          <w:p>
            <w:pPr>
              <w:pStyle w:val="66"/>
            </w:pPr>
            <w:r>
              <w:t>84.31</w:t>
            </w:r>
          </w:p>
        </w:tc>
        <w:tc>
          <w:tcPr>
            <w:tcW w:w="1370" w:type="dxa"/>
            <w:gridSpan w:val="2"/>
            <w:tcBorders>
              <w:tl2br w:val="nil"/>
              <w:tr2bl w:val="nil"/>
            </w:tcBorders>
            <w:vAlign w:val="center"/>
          </w:tcPr>
          <w:p>
            <w:pPr>
              <w:pStyle w:val="66"/>
            </w:pPr>
            <w:r>
              <w:t>100</w:t>
            </w:r>
          </w:p>
        </w:tc>
      </w:tr>
    </w:tbl>
    <w:p>
      <w:pPr>
        <w:ind w:firstLine="440" w:firstLineChars="200"/>
        <w:rPr>
          <w:lang w:eastAsia="zh-CN"/>
        </w:rPr>
        <w:sectPr>
          <w:footerReference r:id="rId9" w:type="default"/>
          <w:pgSz w:w="11906" w:h="16838"/>
          <w:pgMar w:top="1440" w:right="1800" w:bottom="1440" w:left="1800" w:header="851" w:footer="992" w:gutter="0"/>
          <w:cols w:space="720" w:num="1"/>
          <w:docGrid w:type="lines" w:linePitch="312" w:charSpace="0"/>
        </w:sectPr>
      </w:pPr>
    </w:p>
    <w:p>
      <w:pPr>
        <w:pStyle w:val="51"/>
      </w:pPr>
      <w:bookmarkStart w:id="11" w:name="_Toc236071678"/>
      <w:bookmarkStart w:id="12" w:name="_Toc236071620"/>
      <w:r>
        <w:rPr>
          <w:rFonts w:hint="eastAsia"/>
        </w:rPr>
        <w:t>一、</w:t>
      </w:r>
      <w:r>
        <w:t>项目概况</w:t>
      </w:r>
      <w:bookmarkEnd w:id="11"/>
      <w:bookmarkEnd w:id="12"/>
    </w:p>
    <w:p>
      <w:pPr>
        <w:pStyle w:val="52"/>
      </w:pPr>
      <w:bookmarkStart w:id="13" w:name="_Toc236071621"/>
      <w:r>
        <w:t>（一）项目简介</w:t>
      </w:r>
      <w:bookmarkEnd w:id="13"/>
    </w:p>
    <w:p>
      <w:pPr>
        <w:pStyle w:val="53"/>
      </w:pPr>
      <w:bookmarkStart w:id="14" w:name="_Toc236071622"/>
      <w:r>
        <w:rPr>
          <w:rFonts w:hint="eastAsia"/>
        </w:rPr>
        <w:t>1</w:t>
      </w:r>
      <w:r>
        <w:t>.土地复垦方案报告表编制背景</w:t>
      </w:r>
      <w:bookmarkEnd w:id="14"/>
    </w:p>
    <w:p>
      <w:pPr>
        <w:pStyle w:val="59"/>
        <w:ind w:firstLine="480"/>
      </w:pPr>
      <w:r>
        <w:rPr>
          <w:rFonts w:hint="eastAsia"/>
        </w:rPr>
        <w:t>喀什噶尔河克孜河伽师县贝纳木南岸防洪工程的建设，源于重大民生与安全保障需求。本工程位于克孜河下游伽师县西克尔</w:t>
      </w:r>
      <w:r>
        <w:rPr>
          <w:rFonts w:hint="eastAsia"/>
          <w:lang w:val="en-US" w:eastAsia="zh-CN"/>
        </w:rPr>
        <w:t>库勒</w:t>
      </w:r>
      <w:r>
        <w:rPr>
          <w:rFonts w:hint="eastAsia"/>
        </w:rPr>
        <w:t>镇南部，治理总长度为3.6公里，配套建设2座穿堤引水闸，防洪标准为10年一遇，工程等别为V等，主要建筑物级别为5级。结合项目实际情况，本项目计划于2026年9月初开工，2026年12月底完工，建设期4个月。工程建设共占用土地15.7280hm</w:t>
      </w:r>
      <w:r>
        <w:rPr>
          <w:rFonts w:hint="eastAsia"/>
          <w:vertAlign w:val="superscript"/>
        </w:rPr>
        <w:t>2</w:t>
      </w:r>
      <w:r>
        <w:rPr>
          <w:rFonts w:hint="eastAsia"/>
        </w:rPr>
        <w:t>，其中永久用地（防洪堤）占地面积7.4491hm</w:t>
      </w:r>
      <w:r>
        <w:rPr>
          <w:rFonts w:hint="eastAsia"/>
          <w:vertAlign w:val="superscript"/>
        </w:rPr>
        <w:t>2</w:t>
      </w:r>
      <w:r>
        <w:rPr>
          <w:rFonts w:hint="eastAsia"/>
        </w:rPr>
        <w:t>；临时用地主要包括：材料堆场（临时围堰）、材料堆场、施工便道和地下管线敷设作业（施工基坑）等，占地面积8.2789hm</w:t>
      </w:r>
      <w:r>
        <w:rPr>
          <w:rFonts w:hint="eastAsia"/>
          <w:vertAlign w:val="superscript"/>
        </w:rPr>
        <w:t>2</w:t>
      </w:r>
      <w:r>
        <w:rPr>
          <w:rFonts w:hint="eastAsia"/>
        </w:rPr>
        <w:t>。临时用地具体地类组成为：林地4.2632hm</w:t>
      </w:r>
      <w:r>
        <w:rPr>
          <w:rFonts w:hint="eastAsia"/>
          <w:vertAlign w:val="superscript"/>
        </w:rPr>
        <w:t>2</w:t>
      </w:r>
      <w:r>
        <w:rPr>
          <w:rFonts w:hint="eastAsia"/>
        </w:rPr>
        <w:t>、草地0.0139hm</w:t>
      </w:r>
      <w:r>
        <w:rPr>
          <w:rFonts w:hint="eastAsia"/>
          <w:vertAlign w:val="superscript"/>
        </w:rPr>
        <w:t>2</w:t>
      </w:r>
      <w:r>
        <w:rPr>
          <w:rFonts w:hint="eastAsia"/>
        </w:rPr>
        <w:t>、交通运输用地0.8681hm</w:t>
      </w:r>
      <w:r>
        <w:rPr>
          <w:rFonts w:hint="eastAsia"/>
          <w:vertAlign w:val="superscript"/>
        </w:rPr>
        <w:t>2</w:t>
      </w:r>
      <w:r>
        <w:rPr>
          <w:rFonts w:hint="eastAsia"/>
        </w:rPr>
        <w:t>、水域及水利设施用地2.7509hm</w:t>
      </w:r>
      <w:r>
        <w:rPr>
          <w:rFonts w:hint="eastAsia"/>
          <w:vertAlign w:val="superscript"/>
        </w:rPr>
        <w:t>2</w:t>
      </w:r>
      <w:r>
        <w:rPr>
          <w:rFonts w:hint="eastAsia"/>
        </w:rPr>
        <w:t>以及其他土地0.3828hm</w:t>
      </w:r>
      <w:r>
        <w:rPr>
          <w:rFonts w:hint="eastAsia"/>
          <w:vertAlign w:val="superscript"/>
        </w:rPr>
        <w:t>2</w:t>
      </w:r>
      <w:r>
        <w:rPr>
          <w:rFonts w:hint="eastAsia"/>
        </w:rPr>
        <w:t>。本项目概算总金额1577万元。</w:t>
      </w:r>
    </w:p>
    <w:p>
      <w:pPr>
        <w:pStyle w:val="59"/>
        <w:ind w:firstLine="480"/>
      </w:pPr>
      <w:r>
        <w:rPr>
          <w:rFonts w:hint="eastAsia"/>
        </w:rPr>
        <w:t>为贯彻落实《土地复垦条例》和《国土空间调查、规划、用途管制用地用海分类指南（试行）》精神，预防和控制本项目施工建设及运营阶段的土地损毁面积，并及时复垦利用被损毁的土地，充分挖掘废弃土地潜力，促进土地节约集约利用，保护和改善拟建干渠周边环境，实现社会经济与生态环境可持续发展，伽师县水管总站于2026年6月上旬委托新疆成地汇海勘测规划有限公司编制了《喀什噶尔河克孜河伽师县贝纳木南岸防洪工程（K162+250～K165+850段）临时用地土地复垦方案报告书》。</w:t>
      </w:r>
    </w:p>
    <w:p>
      <w:pPr>
        <w:pStyle w:val="53"/>
      </w:pPr>
      <w:bookmarkStart w:id="15" w:name="_Toc236071623"/>
      <w:r>
        <w:rPr>
          <w:rFonts w:hint="eastAsia"/>
        </w:rPr>
        <w:t>2</w:t>
      </w:r>
      <w:r>
        <w:t>.项目</w:t>
      </w:r>
      <w:r>
        <w:rPr>
          <w:rFonts w:hint="eastAsia"/>
        </w:rPr>
        <w:t>工程</w:t>
      </w:r>
      <w:r>
        <w:t>概况</w:t>
      </w:r>
      <w:bookmarkEnd w:id="15"/>
    </w:p>
    <w:p>
      <w:pPr>
        <w:pStyle w:val="59"/>
        <w:ind w:firstLine="480"/>
      </w:pPr>
      <w:r>
        <w:t>a）项目名称：喀什噶尔河克孜河伽师县贝纳木南岸防洪工程（K162+250～K165+850段）</w:t>
      </w:r>
    </w:p>
    <w:p>
      <w:pPr>
        <w:pStyle w:val="59"/>
        <w:ind w:firstLine="480"/>
      </w:pPr>
      <w:r>
        <w:t>b）建设单位：</w:t>
      </w:r>
      <w:r>
        <w:rPr>
          <w:rFonts w:hint="eastAsia"/>
        </w:rPr>
        <w:t>伽师县水管总站</w:t>
      </w:r>
    </w:p>
    <w:p>
      <w:pPr>
        <w:pStyle w:val="59"/>
        <w:ind w:firstLine="480"/>
      </w:pPr>
      <w:r>
        <w:t>c）工程类型：</w:t>
      </w:r>
      <w:r>
        <w:rPr>
          <w:rFonts w:hint="eastAsia"/>
        </w:rPr>
        <w:t>防洪</w:t>
      </w:r>
      <w:r>
        <w:t>工程</w:t>
      </w:r>
    </w:p>
    <w:p>
      <w:pPr>
        <w:pStyle w:val="59"/>
        <w:ind w:firstLine="480"/>
      </w:pPr>
      <w:r>
        <w:t>d）地理位置：</w:t>
      </w:r>
      <w:r>
        <w:rPr>
          <w:rFonts w:hint="eastAsia"/>
        </w:rPr>
        <w:t>喀什地区伽师县西克尔库勒镇库木库坦村、西克尔村</w:t>
      </w:r>
    </w:p>
    <w:p>
      <w:pPr>
        <w:pStyle w:val="59"/>
        <w:ind w:firstLine="480"/>
      </w:pPr>
      <w:r>
        <w:t>e）项目组成：包括主体工程（</w:t>
      </w:r>
      <w:r>
        <w:rPr>
          <w:rFonts w:hint="eastAsia"/>
        </w:rPr>
        <w:t>堤防土方开挖、土方填筑、砂砾石垫层、格宾石笼、土工布、路面施工）</w:t>
      </w:r>
      <w:r>
        <w:t>和临时工程（材料堆场（临时围堰）、材料堆场、施工便道和地下管线敷设作业（施工基坑））。</w:t>
      </w:r>
    </w:p>
    <w:p>
      <w:pPr>
        <w:pStyle w:val="59"/>
        <w:ind w:firstLine="480"/>
      </w:pPr>
      <w:r>
        <w:t>f）投资规模：总投资1</w:t>
      </w:r>
      <w:r>
        <w:rPr>
          <w:rFonts w:hint="eastAsia"/>
        </w:rPr>
        <w:t>577</w:t>
      </w:r>
      <w:r>
        <w:t>.00</w:t>
      </w:r>
      <w:r>
        <w:rPr>
          <w:rFonts w:hint="eastAsia"/>
        </w:rPr>
        <w:t>万元。</w:t>
      </w:r>
    </w:p>
    <w:p>
      <w:pPr>
        <w:pStyle w:val="59"/>
        <w:ind w:firstLine="480"/>
      </w:pPr>
      <w:r>
        <w:rPr>
          <w:rFonts w:hint="eastAsia"/>
        </w:rPr>
        <w:t>g</w:t>
      </w:r>
      <w:r>
        <w:t>）建设期限：本项目计划于</w:t>
      </w:r>
      <w:r>
        <w:rPr>
          <w:rFonts w:hint="eastAsia"/>
        </w:rPr>
        <w:t>2026年9月</w:t>
      </w:r>
      <w:r>
        <w:t>初开工，预计</w:t>
      </w:r>
      <w:r>
        <w:rPr>
          <w:rFonts w:hint="eastAsia"/>
        </w:rPr>
        <w:t>2026年12月</w:t>
      </w:r>
      <w:r>
        <w:t>底完工，建设期</w:t>
      </w:r>
      <w:r>
        <w:rPr>
          <w:rFonts w:hint="eastAsia"/>
        </w:rPr>
        <w:t>4个月</w:t>
      </w:r>
      <w:r>
        <w:t>。</w:t>
      </w:r>
    </w:p>
    <w:p>
      <w:pPr>
        <w:pStyle w:val="59"/>
        <w:ind w:firstLine="480"/>
      </w:pPr>
      <w:r>
        <w:rPr>
          <w:rFonts w:hint="eastAsia"/>
        </w:rPr>
        <w:t>h</w:t>
      </w:r>
      <w:r>
        <w:t>）用地规模：</w:t>
      </w:r>
      <w:r>
        <w:rPr>
          <w:rFonts w:hint="eastAsia"/>
        </w:rPr>
        <w:t>本项目用地总面积</w:t>
      </w:r>
      <w:r>
        <w:t>15.7280hm</w:t>
      </w:r>
      <w:r>
        <w:rPr>
          <w:vertAlign w:val="superscript"/>
        </w:rPr>
        <w:t>2</w:t>
      </w:r>
      <w:r>
        <w:rPr>
          <w:rFonts w:hint="eastAsia"/>
        </w:rPr>
        <w:t>。其中：永久用地占地面积</w:t>
      </w:r>
      <w:r>
        <w:t>7.4491</w:t>
      </w:r>
      <w:r>
        <w:rPr>
          <w:rFonts w:hint="eastAsia"/>
        </w:rPr>
        <w:t>hm</w:t>
      </w:r>
      <w:r>
        <w:rPr>
          <w:rFonts w:hint="eastAsia"/>
          <w:vertAlign w:val="superscript"/>
        </w:rPr>
        <w:t>2</w:t>
      </w:r>
      <w:r>
        <w:rPr>
          <w:rFonts w:hint="eastAsia"/>
        </w:rPr>
        <w:t>；临时用地面积</w:t>
      </w:r>
      <w:r>
        <w:t>8.2789hm</w:t>
      </w:r>
      <w:r>
        <w:rPr>
          <w:vertAlign w:val="superscript"/>
        </w:rPr>
        <w:t>2</w:t>
      </w:r>
      <w:r>
        <w:t>（</w:t>
      </w:r>
      <w:r>
        <w:rPr>
          <w:rFonts w:hint="eastAsia"/>
        </w:rPr>
        <w:t>未</w:t>
      </w:r>
      <w:r>
        <w:t>占用</w:t>
      </w:r>
      <w:r>
        <w:rPr>
          <w:rFonts w:hint="eastAsia"/>
        </w:rPr>
        <w:t>永久基本农田和生态保护红线</w:t>
      </w:r>
      <w:r>
        <w:t>）。</w:t>
      </w:r>
    </w:p>
    <w:p>
      <w:pPr>
        <w:pStyle w:val="53"/>
      </w:pPr>
      <w:bookmarkStart w:id="16" w:name="_Toc236071624"/>
      <w:r>
        <w:t>3.</w:t>
      </w:r>
      <w:r>
        <w:rPr>
          <w:rFonts w:hint="eastAsia"/>
        </w:rPr>
        <w:t>土地权属</w:t>
      </w:r>
      <w:r>
        <w:t>状况</w:t>
      </w:r>
      <w:bookmarkEnd w:id="16"/>
    </w:p>
    <w:p>
      <w:pPr>
        <w:pStyle w:val="59"/>
        <w:ind w:firstLine="480"/>
      </w:pPr>
      <w:r>
        <w:rPr>
          <w:rFonts w:hint="eastAsia"/>
        </w:rPr>
        <w:t>喀什噶尔河克孜河伽师县贝纳木南岸防洪工程（K162+250～K165+850段）临时用地在伽师县境内申请用地总面积8.2789公顷，均为国有土地，土地权属清晰，无争议。</w:t>
      </w:r>
    </w:p>
    <w:p>
      <w:pPr>
        <w:pStyle w:val="53"/>
      </w:pPr>
      <w:bookmarkStart w:id="17" w:name="_Toc236071625"/>
      <w:r>
        <w:rPr>
          <w:rFonts w:hint="eastAsia"/>
        </w:rPr>
        <w:t>4</w:t>
      </w:r>
      <w:r>
        <w:t>.土地复垦目标</w:t>
      </w:r>
      <w:bookmarkEnd w:id="17"/>
    </w:p>
    <w:p>
      <w:pPr>
        <w:pStyle w:val="59"/>
        <w:ind w:firstLine="480"/>
      </w:pPr>
      <w:r>
        <w:rPr>
          <w:rFonts w:hint="eastAsia"/>
        </w:rPr>
        <w:t>本项目通过采取预防控制和工程技术措施，预防控制损毁土地面积，并对损毁土地全部进行复垦。根据复垦适宜性评价结果，确定临时用地复垦时按原土地利用类型恢复，本方案复垦责任范围8.2789 hm</w:t>
      </w:r>
      <w:r>
        <w:rPr>
          <w:rFonts w:ascii="Calibri" w:hAnsi="Calibri" w:cs="Calibri"/>
        </w:rPr>
        <w:t>²</w:t>
      </w:r>
      <w:r>
        <w:rPr>
          <w:rFonts w:hint="eastAsia" w:ascii="仿宋" w:hAnsi="仿宋" w:cs="仿宋"/>
        </w:rPr>
        <w:t>，实际复垦土地面积</w:t>
      </w:r>
      <w:r>
        <w:rPr>
          <w:rFonts w:hint="eastAsia"/>
        </w:rPr>
        <w:t>8.2789 hm</w:t>
      </w:r>
      <w:r>
        <w:rPr>
          <w:rFonts w:ascii="Calibri" w:hAnsi="Calibri" w:cs="Calibri"/>
        </w:rPr>
        <w:t>²</w:t>
      </w:r>
      <w:r>
        <w:rPr>
          <w:rFonts w:hint="eastAsia" w:ascii="仿宋" w:hAnsi="仿宋" w:cs="仿宋"/>
        </w:rPr>
        <w:t>，复垦为林地</w:t>
      </w:r>
      <w:r>
        <w:rPr>
          <w:rFonts w:hint="eastAsia"/>
        </w:rPr>
        <w:t>4.2632 hm</w:t>
      </w:r>
      <w:r>
        <w:rPr>
          <w:rFonts w:ascii="Calibri" w:hAnsi="Calibri" w:cs="Calibri"/>
        </w:rPr>
        <w:t>²</w:t>
      </w:r>
      <w:r>
        <w:rPr>
          <w:rFonts w:hint="eastAsia" w:ascii="仿宋" w:hAnsi="仿宋" w:cs="仿宋"/>
        </w:rPr>
        <w:t>、复垦为草地</w:t>
      </w:r>
      <w:r>
        <w:rPr>
          <w:rFonts w:hint="eastAsia"/>
        </w:rPr>
        <w:t>0.0139hm</w:t>
      </w:r>
      <w:r>
        <w:rPr>
          <w:rFonts w:ascii="Calibri" w:hAnsi="Calibri" w:cs="Calibri"/>
        </w:rPr>
        <w:t>²</w:t>
      </w:r>
      <w:r>
        <w:rPr>
          <w:rFonts w:hint="eastAsia" w:ascii="仿宋" w:hAnsi="仿宋" w:cs="仿宋"/>
        </w:rPr>
        <w:t>、复垦为交通运输用地</w:t>
      </w:r>
      <w:r>
        <w:rPr>
          <w:rFonts w:hint="eastAsia"/>
        </w:rPr>
        <w:t>0.8681 hm</w:t>
      </w:r>
      <w:r>
        <w:rPr>
          <w:rFonts w:ascii="Calibri" w:hAnsi="Calibri" w:cs="Calibri"/>
        </w:rPr>
        <w:t>²</w:t>
      </w:r>
      <w:r>
        <w:rPr>
          <w:rFonts w:hint="eastAsia" w:ascii="仿宋" w:hAnsi="仿宋" w:cs="仿宋"/>
        </w:rPr>
        <w:t>、复垦为水域及水利设施用地</w:t>
      </w:r>
      <w:r>
        <w:rPr>
          <w:rFonts w:hint="eastAsia"/>
        </w:rPr>
        <w:t>2.7509 hm</w:t>
      </w:r>
      <w:r>
        <w:rPr>
          <w:rFonts w:ascii="Calibri" w:hAnsi="Calibri" w:cs="Calibri"/>
        </w:rPr>
        <w:t>²</w:t>
      </w:r>
      <w:r>
        <w:rPr>
          <w:rFonts w:hint="eastAsia" w:ascii="仿宋" w:hAnsi="仿宋" w:cs="仿宋"/>
        </w:rPr>
        <w:t>、复垦为其他土地</w:t>
      </w:r>
      <w:r>
        <w:rPr>
          <w:rFonts w:hint="eastAsia"/>
        </w:rPr>
        <w:t>0.3828 hm</w:t>
      </w:r>
      <w:r>
        <w:rPr>
          <w:rFonts w:ascii="Calibri" w:hAnsi="Calibri" w:cs="Calibri"/>
        </w:rPr>
        <w:t>²</w:t>
      </w:r>
      <w:r>
        <w:rPr>
          <w:rFonts w:hint="eastAsia" w:ascii="仿宋" w:hAnsi="仿宋" w:cs="仿宋"/>
        </w:rPr>
        <w:t>，土地复垦率为</w:t>
      </w:r>
      <w:r>
        <w:rPr>
          <w:rFonts w:hint="eastAsia"/>
        </w:rPr>
        <w:t>100%。</w:t>
      </w:r>
    </w:p>
    <w:p>
      <w:pPr>
        <w:pStyle w:val="53"/>
      </w:pPr>
      <w:bookmarkStart w:id="18" w:name="_Toc236071626"/>
      <w:r>
        <w:rPr>
          <w:rFonts w:hint="eastAsia"/>
        </w:rPr>
        <w:t>5</w:t>
      </w:r>
      <w:r>
        <w:t>.复垦投资情况</w:t>
      </w:r>
      <w:bookmarkEnd w:id="18"/>
    </w:p>
    <w:p>
      <w:pPr>
        <w:pStyle w:val="59"/>
        <w:ind w:firstLine="480"/>
      </w:pPr>
      <w:r>
        <w:rPr>
          <w:rFonts w:hint="eastAsia"/>
        </w:rPr>
        <w:t>项目区复垦土地总面积为8.2789公顷（合124.1835亩），项目静态总投资84.31万元，亩均投资6789元/亩。</w:t>
      </w:r>
    </w:p>
    <w:p>
      <w:pPr>
        <w:pStyle w:val="53"/>
      </w:pPr>
      <w:bookmarkStart w:id="19" w:name="_Toc236071627"/>
      <w:r>
        <w:rPr>
          <w:rFonts w:hint="eastAsia"/>
        </w:rPr>
        <w:t>6</w:t>
      </w:r>
      <w:r>
        <w:t>.地理位置</w:t>
      </w:r>
      <w:bookmarkEnd w:id="19"/>
    </w:p>
    <w:p>
      <w:pPr>
        <w:pStyle w:val="59"/>
        <w:ind w:firstLine="480"/>
      </w:pPr>
      <w:r>
        <w:t>本项目地处塔里木盆地西缘冲积平原，位于克孜河下游南岸。项目区位于新疆维吾尔自治区喀什地区伽师县西克尔库勒镇。（图1项目区</w:t>
      </w:r>
      <w:r>
        <w:rPr>
          <w:rFonts w:hint="eastAsia"/>
        </w:rPr>
        <w:t>位</w:t>
      </w:r>
      <w:r>
        <w:t>图）</w:t>
      </w:r>
    </w:p>
    <w:p>
      <w:pPr>
        <w:pStyle w:val="66"/>
      </w:pPr>
      <w:r>
        <w:drawing>
          <wp:inline distT="0" distB="0" distL="0" distR="0">
            <wp:extent cx="1979930" cy="1734185"/>
            <wp:effectExtent l="0" t="0" r="635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79930" cy="1734185"/>
                    </a:xfrm>
                    <a:prstGeom prst="rect">
                      <a:avLst/>
                    </a:prstGeom>
                    <a:noFill/>
                  </pic:spPr>
                </pic:pic>
              </a:graphicData>
            </a:graphic>
          </wp:inline>
        </w:drawing>
      </w:r>
    </w:p>
    <w:p>
      <w:pPr>
        <w:pStyle w:val="68"/>
        <w:ind w:firstLine="420"/>
      </w:pPr>
      <w:r>
        <w:t>图1</w:t>
      </w:r>
      <w:r>
        <w:rPr>
          <w:rFonts w:hint="eastAsia"/>
        </w:rPr>
        <w:t xml:space="preserve"> </w:t>
      </w:r>
      <w:r>
        <w:t>项目区</w:t>
      </w:r>
      <w:r>
        <w:rPr>
          <w:rFonts w:hint="eastAsia"/>
        </w:rPr>
        <w:t>位</w:t>
      </w:r>
      <w:r>
        <w:t>图</w:t>
      </w:r>
    </w:p>
    <w:p>
      <w:pPr>
        <w:pStyle w:val="52"/>
      </w:pPr>
      <w:bookmarkStart w:id="20" w:name="_Toc236071628"/>
      <w:r>
        <w:t>（</w:t>
      </w:r>
      <w:r>
        <w:rPr>
          <w:rFonts w:hint="eastAsia"/>
        </w:rPr>
        <w:t>二</w:t>
      </w:r>
      <w:r>
        <w:t>）</w:t>
      </w:r>
      <w:r>
        <w:rPr>
          <w:rFonts w:hint="eastAsia"/>
        </w:rPr>
        <w:t>项目区</w:t>
      </w:r>
      <w:r>
        <w:t>自然概况</w:t>
      </w:r>
      <w:bookmarkEnd w:id="20"/>
    </w:p>
    <w:p>
      <w:pPr>
        <w:pStyle w:val="53"/>
      </w:pPr>
      <w:bookmarkStart w:id="21" w:name="_Toc236071629"/>
      <w:r>
        <w:rPr>
          <w:rFonts w:hint="eastAsia"/>
        </w:rPr>
        <w:t>1</w:t>
      </w:r>
      <w:r>
        <w:t>.地形地貌</w:t>
      </w:r>
      <w:bookmarkEnd w:id="21"/>
    </w:p>
    <w:p>
      <w:pPr>
        <w:pStyle w:val="59"/>
        <w:ind w:firstLine="480"/>
      </w:pPr>
      <w:r>
        <w:rPr>
          <w:rFonts w:hint="eastAsia"/>
        </w:rPr>
        <w:t>项目区地处塔里木盆地西缘、天山南麓，位于喀什噶尔河克孜河中下游冲积、洪积平原区，隶属于伽师县境内。伽师县整体处于克孜勒河沉积、洪积扇尾部组成的冲积平原之上，地势西高</w:t>
      </w:r>
      <w:bookmarkStart w:id="90" w:name="_GoBack"/>
      <w:bookmarkEnd w:id="90"/>
      <w:r>
        <w:rPr>
          <w:rFonts w:hint="eastAsia"/>
        </w:rPr>
        <w:t>东低、北高南低，地形总体由西南向东北微倾，地面坡度约为1‰～3‰，平均海拔约1208米。</w:t>
      </w:r>
    </w:p>
    <w:p>
      <w:pPr>
        <w:pStyle w:val="53"/>
      </w:pPr>
      <w:bookmarkStart w:id="22" w:name="_Toc236071630"/>
      <w:r>
        <w:t>2.</w:t>
      </w:r>
      <w:r>
        <w:rPr>
          <w:rFonts w:hint="eastAsia"/>
        </w:rPr>
        <w:t>气候气象</w:t>
      </w:r>
      <w:bookmarkEnd w:id="22"/>
    </w:p>
    <w:p>
      <w:pPr>
        <w:pStyle w:val="59"/>
        <w:ind w:firstLine="480"/>
      </w:pPr>
      <w:r>
        <w:rPr>
          <w:rFonts w:hint="eastAsia"/>
        </w:rPr>
        <w:t>伽师县为温带大陆性干旱气候，气温年内变化显著。七月份最热，平均气温26.0℃，极端最高气温为41.2℃，一月份最低，平均气温-6.6℃，极端最低气温-22.5℃，多年平均气温11.7℃。</w:t>
      </w:r>
    </w:p>
    <w:p>
      <w:pPr>
        <w:pStyle w:val="59"/>
        <w:ind w:firstLine="480"/>
      </w:pPr>
      <w:r>
        <w:rPr>
          <w:rFonts w:hint="eastAsia"/>
        </w:rPr>
        <w:t>降水量年际变化大，多年平均降水量54 mm，最大降水量109.2 mm，降水多年集中在5～8月，占全年降水量65.2%。降雪最早出现于11月，最晚终于3月，最大积雪深为10 cm，积雪日数多年平均5天。多年平均蒸发量2251.1 mm，为多年平均降水量的41.7倍，年平均相对湿度为52%。</w:t>
      </w:r>
    </w:p>
    <w:p>
      <w:pPr>
        <w:pStyle w:val="59"/>
        <w:ind w:firstLine="480"/>
      </w:pPr>
      <w:r>
        <w:rPr>
          <w:rFonts w:hint="eastAsia"/>
        </w:rPr>
        <w:t>平均无霜期为233天，最长为264天，最短期为204天。最大冻土深度87cm，10 cm冻结日为12月13日，解冻日2月18日，30 cm冻结日为12月29日，解冻日为2月17日。</w:t>
      </w:r>
    </w:p>
    <w:p>
      <w:pPr>
        <w:pStyle w:val="59"/>
        <w:ind w:firstLine="480"/>
      </w:pPr>
      <w:r>
        <w:rPr>
          <w:rFonts w:hint="eastAsia"/>
        </w:rPr>
        <w:t>年平均日照时数为2923.3小时，平均日照率为66%，作物生长期日照可达2000 h以上。积温指标为≥0℃的积温为4708℃，≥15℃的积温为3614.8℃，初终间日数在278~160天之间。</w:t>
      </w:r>
    </w:p>
    <w:p>
      <w:pPr>
        <w:pStyle w:val="53"/>
      </w:pPr>
      <w:bookmarkStart w:id="23" w:name="_Toc236071631"/>
      <w:r>
        <w:t>3.</w:t>
      </w:r>
      <w:r>
        <w:rPr>
          <w:rFonts w:hint="eastAsia"/>
        </w:rPr>
        <w:t>土壤</w:t>
      </w:r>
      <w:bookmarkEnd w:id="23"/>
    </w:p>
    <w:p>
      <w:pPr>
        <w:pStyle w:val="59"/>
        <w:ind w:firstLine="480"/>
      </w:pPr>
      <w:r>
        <w:rPr>
          <w:rFonts w:hint="eastAsia"/>
        </w:rPr>
        <w:t>根据土壤信息服务平台上1公里土壤类型图资料和实地调查情况，项目区土壤类型较为单一，受温带大陆性干旱气候的影响，其土壤类型主要为棕漠土及灌淤土，表层含有腐殖质层20～30 cm，有机质含量较低，土壤颜色为灰黄色，土壤呈碱性反应。</w:t>
      </w:r>
    </w:p>
    <w:p>
      <w:pPr>
        <w:pStyle w:val="59"/>
        <w:ind w:firstLine="480"/>
      </w:pPr>
      <w:r>
        <w:rPr>
          <w:rFonts w:hint="eastAsia"/>
        </w:rPr>
        <w:t>林地区域、草地区域表层土有效层厚度约30 cm，PH值为8.0～8.5，土壤容重≤1.45g/cm3，土壤具有较高的肥力，表层土壤（0～30cm）有机质含量≥1.2g/kg，土壤内砂砾石含量小于30%，植被覆盖率75%。</w:t>
      </w:r>
    </w:p>
    <w:p>
      <w:pPr>
        <w:pStyle w:val="59"/>
        <w:ind w:firstLine="480"/>
      </w:pPr>
      <w:r>
        <w:rPr>
          <w:rFonts w:hint="eastAsia"/>
        </w:rPr>
        <w:t>农村道路区域、沟渠区域砂砾石含量小于30%，植被覆盖率小于5%。</w:t>
      </w:r>
    </w:p>
    <w:p>
      <w:pPr>
        <w:pStyle w:val="53"/>
      </w:pPr>
      <w:bookmarkStart w:id="24" w:name="_Toc236071632"/>
      <w:r>
        <w:rPr>
          <w:rFonts w:hint="eastAsia"/>
        </w:rPr>
        <w:t>4</w:t>
      </w:r>
      <w:r>
        <w:t>.生物</w:t>
      </w:r>
      <w:bookmarkEnd w:id="24"/>
    </w:p>
    <w:p>
      <w:pPr>
        <w:pStyle w:val="59"/>
        <w:ind w:firstLine="480"/>
      </w:pPr>
      <w:r>
        <w:rPr>
          <w:rFonts w:hint="eastAsia"/>
        </w:rPr>
        <w:t>项目区植被类型主要为本地自然生长的较为短命的耐旱植被，主要有骆驼刺、芨芨草、芦苇等，草本层高度20～50 cm；工程两侧有一些天然灌木林（红柳）分布，灌木树冠大面积相连，林间空隙狭小，林下光照偏弱，郁闭度0</w:t>
      </w:r>
      <w:r>
        <w:t>.75</w:t>
      </w:r>
      <w:r>
        <w:rPr>
          <w:rFonts w:hint="eastAsia"/>
        </w:rPr>
        <w:t>。</w:t>
      </w:r>
    </w:p>
    <w:p>
      <w:pPr>
        <w:pStyle w:val="59"/>
        <w:ind w:firstLine="480"/>
      </w:pPr>
      <w:r>
        <w:t>工程区不具备大型野生动物的活动的环境条件，野生动物稀少，因此项目区及周边可见的野生动物活动很少，在夏季可见蛇、蟾蜍及鼠类等。</w:t>
      </w:r>
    </w:p>
    <w:p>
      <w:pPr>
        <w:pStyle w:val="53"/>
      </w:pPr>
      <w:bookmarkStart w:id="25" w:name="_Toc236071633"/>
      <w:r>
        <w:t>5.</w:t>
      </w:r>
      <w:r>
        <w:rPr>
          <w:rFonts w:hint="eastAsia"/>
        </w:rPr>
        <w:t>水文</w:t>
      </w:r>
      <w:bookmarkEnd w:id="25"/>
    </w:p>
    <w:p>
      <w:pPr>
        <w:pStyle w:val="59"/>
        <w:ind w:firstLine="480"/>
      </w:pPr>
      <w:r>
        <w:rPr>
          <w:rFonts w:hint="eastAsia"/>
        </w:rPr>
        <w:t>克孜河属南疆西部喀什噶尔河水系，发源于帕米尔高原与天山西南支脉高山区的结合部；其南侧接受帕米尔高原来水，北侧接受天山来水，使克孜河具有独特的洪水特征。</w:t>
      </w:r>
    </w:p>
    <w:p>
      <w:pPr>
        <w:pStyle w:val="52"/>
      </w:pPr>
      <w:bookmarkStart w:id="26" w:name="_Toc236071634"/>
      <w:r>
        <w:t>（</w:t>
      </w:r>
      <w:r>
        <w:rPr>
          <w:rFonts w:hint="eastAsia"/>
        </w:rPr>
        <w:t>三</w:t>
      </w:r>
      <w:r>
        <w:t>）</w:t>
      </w:r>
      <w:r>
        <w:rPr>
          <w:rFonts w:hint="eastAsia"/>
        </w:rPr>
        <w:t>项目区社会经济概况</w:t>
      </w:r>
      <w:bookmarkEnd w:id="26"/>
    </w:p>
    <w:p>
      <w:pPr>
        <w:keepNext w:val="0"/>
        <w:keepLines w:val="0"/>
        <w:pageBreakBefore w:val="0"/>
        <w:widowControl w:val="0"/>
        <w:kinsoku/>
        <w:wordWrap/>
        <w:overflowPunct/>
        <w:topLinePunct w:val="0"/>
        <w:autoSpaceDE/>
        <w:autoSpaceDN/>
        <w:bidi w:val="0"/>
        <w:adjustRightInd/>
        <w:snapToGrid/>
        <w:spacing w:after="0" w:line="360" w:lineRule="auto"/>
        <w:ind w:firstLine="440" w:firstLineChars="200"/>
        <w:textAlignment w:val="auto"/>
        <w:rPr>
          <w:rFonts w:ascii="Times New Roman" w:hAnsi="Times New Roman" w:eastAsia="仿宋" w:cs="Times New Roman"/>
          <w:color w:val="auto"/>
        </w:rPr>
      </w:pPr>
      <w:r>
        <w:rPr>
          <w:rFonts w:ascii="Times New Roman" w:hAnsi="Times New Roman" w:eastAsia="仿宋" w:cs="Times New Roman"/>
          <w:color w:val="auto"/>
        </w:rPr>
        <w:t>项目位于新疆维吾尔自治区</w:t>
      </w:r>
      <w:r>
        <w:rPr>
          <w:rFonts w:hint="eastAsia" w:ascii="Times New Roman" w:hAnsi="Times New Roman" w:eastAsia="仿宋" w:cs="Times New Roman"/>
          <w:color w:val="auto"/>
          <w:lang w:val="en-US" w:eastAsia="zh-CN"/>
        </w:rPr>
        <w:t>喀什地区伽师县</w:t>
      </w:r>
      <w:r>
        <w:rPr>
          <w:rFonts w:ascii="Times New Roman" w:hAnsi="Times New Roman" w:eastAsia="仿宋" w:cs="Times New Roman"/>
          <w:color w:val="auto"/>
        </w:rPr>
        <w:t>市境内。</w:t>
      </w:r>
    </w:p>
    <w:p>
      <w:pPr>
        <w:adjustRightInd w:val="0"/>
        <w:snapToGrid w:val="0"/>
        <w:spacing w:after="0" w:line="360" w:lineRule="auto"/>
        <w:ind w:firstLine="480"/>
        <w:rPr>
          <w:rFonts w:ascii="Times New Roman" w:eastAsia="仿宋"/>
          <w:color w:val="000000" w:themeColor="text1"/>
          <w:sz w:val="24"/>
          <w:szCs w:val="24"/>
          <w:lang w:eastAsia="zh-CN"/>
          <w14:textFill>
            <w14:solidFill>
              <w14:schemeClr w14:val="tx1"/>
            </w14:solidFill>
          </w14:textFill>
        </w:rPr>
      </w:pPr>
      <w:r>
        <w:rPr>
          <w:rFonts w:hint="eastAsia" w:ascii="Times New Roman" w:eastAsia="仿宋"/>
          <w:color w:val="000000" w:themeColor="text1"/>
          <w:sz w:val="24"/>
          <w:szCs w:val="24"/>
          <w:lang w:eastAsia="zh-CN"/>
          <w14:textFill>
            <w14:solidFill>
              <w14:schemeClr w14:val="tx1"/>
            </w14:solidFill>
          </w14:textFill>
        </w:rPr>
        <w:t>2</w:t>
      </w:r>
      <w:r>
        <w:rPr>
          <w:rFonts w:ascii="Times New Roman" w:eastAsia="仿宋"/>
          <w:color w:val="000000" w:themeColor="text1"/>
          <w:sz w:val="24"/>
          <w:szCs w:val="24"/>
          <w:lang w:eastAsia="zh-CN"/>
          <w14:textFill>
            <w14:solidFill>
              <w14:schemeClr w14:val="tx1"/>
            </w14:solidFill>
          </w14:textFill>
        </w:rPr>
        <w:t>023年，伽师县</w:t>
      </w:r>
      <w:r>
        <w:rPr>
          <w:rFonts w:hint="eastAsia" w:ascii="Times New Roman" w:eastAsia="仿宋"/>
          <w:color w:val="000000" w:themeColor="text1"/>
          <w:sz w:val="24"/>
          <w:szCs w:val="24"/>
          <w:lang w:eastAsia="zh-CN"/>
          <w14:textFill>
            <w14:solidFill>
              <w14:schemeClr w14:val="tx1"/>
            </w14:solidFill>
          </w14:textFill>
        </w:rPr>
        <w:t>实现地区生产总值（GDP）101.32亿元，城镇居民人均可支配收入30323元，农村居民人均可支配收入12295元，全年固定资产投资（不含农户）完成50.6亿元。</w:t>
      </w:r>
    </w:p>
    <w:p>
      <w:pPr>
        <w:adjustRightInd w:val="0"/>
        <w:snapToGrid w:val="0"/>
        <w:spacing w:after="0" w:line="360" w:lineRule="auto"/>
        <w:ind w:firstLine="480"/>
        <w:rPr>
          <w:rFonts w:ascii="Times New Roman" w:eastAsia="仿宋"/>
          <w:color w:val="000000" w:themeColor="text1"/>
          <w:sz w:val="24"/>
          <w:szCs w:val="24"/>
          <w:lang w:eastAsia="zh-CN"/>
          <w14:textFill>
            <w14:solidFill>
              <w14:schemeClr w14:val="tx1"/>
            </w14:solidFill>
          </w14:textFill>
        </w:rPr>
      </w:pPr>
      <w:r>
        <w:rPr>
          <w:rFonts w:hint="eastAsia" w:ascii="Times New Roman" w:eastAsia="仿宋"/>
          <w:color w:val="000000" w:themeColor="text1"/>
          <w:sz w:val="24"/>
          <w:szCs w:val="24"/>
          <w:lang w:eastAsia="zh-CN"/>
          <w14:textFill>
            <w14:solidFill>
              <w14:schemeClr w14:val="tx1"/>
            </w14:solidFill>
          </w14:textFill>
        </w:rPr>
        <w:t>2</w:t>
      </w:r>
      <w:r>
        <w:rPr>
          <w:rFonts w:ascii="Times New Roman" w:eastAsia="仿宋"/>
          <w:color w:val="000000" w:themeColor="text1"/>
          <w:sz w:val="24"/>
          <w:szCs w:val="24"/>
          <w:lang w:eastAsia="zh-CN"/>
          <w14:textFill>
            <w14:solidFill>
              <w14:schemeClr w14:val="tx1"/>
            </w14:solidFill>
          </w14:textFill>
        </w:rPr>
        <w:t>024年，</w:t>
      </w:r>
      <w:r>
        <w:rPr>
          <w:rFonts w:hint="eastAsia" w:ascii="Times New Roman" w:eastAsia="仿宋"/>
          <w:color w:val="000000" w:themeColor="text1"/>
          <w:sz w:val="24"/>
          <w:szCs w:val="24"/>
          <w:lang w:eastAsia="zh-CN"/>
          <w14:textFill>
            <w14:solidFill>
              <w14:schemeClr w14:val="tx1"/>
            </w14:solidFill>
          </w14:textFill>
        </w:rPr>
        <w:t>伽师县实现地区生产总值（GDP）115.03亿元，城镇居民人均可支配收入32233元，农村居民人均可支配收入13439元，全年全县固定资产投资56.68亿元。</w:t>
      </w:r>
    </w:p>
    <w:p>
      <w:pPr>
        <w:pStyle w:val="59"/>
        <w:keepNext w:val="0"/>
        <w:keepLines w:val="0"/>
        <w:pageBreakBefore w:val="0"/>
        <w:widowControl/>
        <w:kinsoku/>
        <w:wordWrap/>
        <w:overflowPunct/>
        <w:topLinePunct w:val="0"/>
        <w:autoSpaceDE/>
        <w:autoSpaceDN/>
        <w:bidi w:val="0"/>
        <w:adjustRightInd/>
        <w:snapToGrid/>
        <w:ind w:left="0" w:leftChars="0" w:firstLine="480" w:firstLineChars="200"/>
        <w:textAlignment w:val="auto"/>
      </w:pPr>
      <w:r>
        <w:rPr>
          <w:rFonts w:hint="eastAsia"/>
          <w:szCs w:val="24"/>
        </w:rPr>
        <w:t>2</w:t>
      </w:r>
      <w:r>
        <w:rPr>
          <w:szCs w:val="24"/>
        </w:rPr>
        <w:t>025年</w:t>
      </w:r>
      <w:r>
        <w:rPr>
          <w:rFonts w:hint="eastAsia"/>
          <w:szCs w:val="24"/>
        </w:rPr>
        <w:t>，伽师县</w:t>
      </w:r>
      <w:r>
        <w:rPr>
          <w:rFonts w:hint="eastAsia" w:ascii="Times New Roman" w:eastAsia="仿宋"/>
          <w:color w:val="000000" w:themeColor="text1"/>
          <w:sz w:val="24"/>
          <w:szCs w:val="24"/>
          <w:lang w:eastAsia="zh-CN"/>
          <w14:textFill>
            <w14:solidFill>
              <w14:schemeClr w14:val="tx1"/>
            </w14:solidFill>
          </w14:textFill>
        </w:rPr>
        <w:t>实现</w:t>
      </w:r>
      <w:r>
        <w:rPr>
          <w:rFonts w:hint="eastAsia"/>
          <w:szCs w:val="24"/>
        </w:rPr>
        <w:t>地区生产总值</w:t>
      </w:r>
      <w:r>
        <w:rPr>
          <w:rFonts w:hint="eastAsia" w:ascii="Times New Roman" w:eastAsia="仿宋"/>
          <w:color w:val="000000" w:themeColor="text1"/>
          <w:sz w:val="24"/>
          <w:szCs w:val="24"/>
          <w:lang w:eastAsia="zh-CN"/>
          <w14:textFill>
            <w14:solidFill>
              <w14:schemeClr w14:val="tx1"/>
            </w14:solidFill>
          </w14:textFill>
        </w:rPr>
        <w:t>（GDP）</w:t>
      </w:r>
      <w:r>
        <w:rPr>
          <w:rFonts w:hint="eastAsia"/>
          <w:szCs w:val="24"/>
        </w:rPr>
        <w:t>130.81亿元</w:t>
      </w:r>
      <w:r>
        <w:rPr>
          <w:rFonts w:hint="eastAsia"/>
          <w:szCs w:val="24"/>
          <w:lang w:eastAsia="zh-CN"/>
        </w:rPr>
        <w:t>，</w:t>
      </w:r>
      <w:r>
        <w:rPr>
          <w:rFonts w:hint="eastAsia"/>
          <w:szCs w:val="24"/>
        </w:rPr>
        <w:t>城镇居民人均可支配收入34328元，农村居民人均可支配收入14554元</w:t>
      </w:r>
      <w:r>
        <w:rPr>
          <w:rFonts w:hint="eastAsia"/>
          <w:szCs w:val="24"/>
          <w:lang w:eastAsia="zh-CN"/>
        </w:rPr>
        <w:t>，全年全县固定资产投资62.49亿元。</w:t>
      </w:r>
    </w:p>
    <w:p>
      <w:pPr>
        <w:pStyle w:val="51"/>
      </w:pPr>
      <w:bookmarkStart w:id="27" w:name="_Toc236071635"/>
      <w:bookmarkStart w:id="28" w:name="_Toc236071679"/>
      <w:r>
        <w:t>二、服务年限</w:t>
      </w:r>
      <w:bookmarkEnd w:id="27"/>
      <w:bookmarkEnd w:id="28"/>
    </w:p>
    <w:p>
      <w:pPr>
        <w:pStyle w:val="59"/>
        <w:ind w:firstLine="480"/>
      </w:pPr>
      <w:r>
        <w:rPr>
          <w:rFonts w:hint="eastAsia"/>
        </w:rPr>
        <w:t>工程建设期：根据《喀什噶尔河克孜河伽师县贝纳木南岸防洪工程可行性研究报告》资料分析，结合项目实际情况，本项目计划于2026年9月初开工，2026年12月底完工，建设期4个月。</w:t>
      </w:r>
    </w:p>
    <w:p>
      <w:pPr>
        <w:pStyle w:val="59"/>
        <w:ind w:firstLine="480"/>
      </w:pPr>
      <w:r>
        <w:rPr>
          <w:rFonts w:hint="eastAsia"/>
        </w:rPr>
        <w:t>复垦期：工程建设完成后，对临时用地复垦工作，复垦施工期确定为工程建设期后</w:t>
      </w:r>
      <w:r>
        <w:t>6</w:t>
      </w:r>
      <w:r>
        <w:rPr>
          <w:rFonts w:hint="eastAsia"/>
        </w:rPr>
        <w:t>个月，故复垦施工期为2027年1月至2027年</w:t>
      </w:r>
      <w:r>
        <w:t>6</w:t>
      </w:r>
      <w:r>
        <w:rPr>
          <w:rFonts w:hint="eastAsia"/>
        </w:rPr>
        <w:t>月。</w:t>
      </w:r>
    </w:p>
    <w:p>
      <w:pPr>
        <w:pStyle w:val="59"/>
        <w:ind w:firstLine="480"/>
      </w:pPr>
      <w:r>
        <w:rPr>
          <w:rFonts w:hint="eastAsia"/>
        </w:rPr>
        <w:t>管护期：经调查，项目占用临时用地涉及林地和草地，考虑到对复垦区林草地的后期管护，结合当地自然条件及植被恢复情况等，初步制定3年的管护期，管护时间为2027年</w:t>
      </w:r>
      <w:r>
        <w:t>7</w:t>
      </w:r>
      <w:r>
        <w:rPr>
          <w:rFonts w:hint="eastAsia"/>
        </w:rPr>
        <w:t>月至2030年</w:t>
      </w:r>
      <w:r>
        <w:t>7</w:t>
      </w:r>
      <w:r>
        <w:rPr>
          <w:rFonts w:hint="eastAsia"/>
        </w:rPr>
        <w:t>月。</w:t>
      </w:r>
    </w:p>
    <w:p>
      <w:pPr>
        <w:pStyle w:val="59"/>
        <w:ind w:firstLine="480"/>
      </w:pPr>
      <w:r>
        <w:rPr>
          <w:rFonts w:hint="eastAsia"/>
        </w:rPr>
        <w:t>服务年限：综上，本复垦方案的服务年限为2026年9月至2030年</w:t>
      </w:r>
      <w:r>
        <w:t>7</w:t>
      </w:r>
      <w:r>
        <w:rPr>
          <w:rFonts w:hint="eastAsia"/>
        </w:rPr>
        <w:t>月，服务期限为4</w:t>
      </w:r>
      <w:r>
        <w:t>7</w:t>
      </w:r>
      <w:r>
        <w:rPr>
          <w:rFonts w:hint="eastAsia"/>
        </w:rPr>
        <w:t>个月。若出现特殊情况项目提前或延后完工，复垦方案的服务年限随之提前或延后。</w:t>
      </w:r>
    </w:p>
    <w:p>
      <w:pPr>
        <w:pStyle w:val="51"/>
      </w:pPr>
      <w:bookmarkStart w:id="29" w:name="_Toc236071636"/>
      <w:bookmarkStart w:id="30" w:name="_Toc236071680"/>
      <w:r>
        <w:rPr>
          <w:rFonts w:hint="eastAsia"/>
        </w:rPr>
        <w:t>三</w:t>
      </w:r>
      <w:r>
        <w:t>、</w:t>
      </w:r>
      <w:r>
        <w:rPr>
          <w:rFonts w:hint="eastAsia"/>
        </w:rPr>
        <w:t>复垦区</w:t>
      </w:r>
      <w:r>
        <w:t>及复垦责任范围</w:t>
      </w:r>
      <w:bookmarkEnd w:id="29"/>
      <w:bookmarkEnd w:id="30"/>
    </w:p>
    <w:p>
      <w:pPr>
        <w:pStyle w:val="52"/>
      </w:pPr>
      <w:bookmarkStart w:id="31" w:name="_Toc236071637"/>
      <w:r>
        <w:rPr>
          <w:rStyle w:val="56"/>
          <w:rFonts w:hint="eastAsia"/>
        </w:rPr>
        <w:t>（一）</w:t>
      </w:r>
      <w:r>
        <w:t>复垦区</w:t>
      </w:r>
      <w:bookmarkEnd w:id="31"/>
    </w:p>
    <w:p>
      <w:pPr>
        <w:pStyle w:val="59"/>
        <w:ind w:firstLine="480"/>
      </w:pPr>
      <w:r>
        <w:t>根据项目建设过程中土地损毁分析，本项目复垦区面积为</w:t>
      </w:r>
      <w:r>
        <w:rPr>
          <w:rFonts w:hint="eastAsia"/>
        </w:rPr>
        <w:t>15.7280</w:t>
      </w:r>
      <w:r>
        <w:t>hm</w:t>
      </w:r>
      <w:r>
        <w:rPr>
          <w:vertAlign w:val="superscript"/>
        </w:rPr>
        <w:t>2</w:t>
      </w:r>
      <w:r>
        <w:rPr>
          <w:rFonts w:hint="eastAsia"/>
        </w:rPr>
        <w:t>。</w:t>
      </w:r>
      <w:r>
        <w:t>永久性用地</w:t>
      </w:r>
      <w:r>
        <w:rPr>
          <w:rFonts w:hint="eastAsia"/>
        </w:rPr>
        <w:t>占地面积为</w:t>
      </w:r>
      <w:r>
        <w:t>7.4491</w:t>
      </w:r>
      <w:r>
        <w:rPr>
          <w:rFonts w:hint="eastAsia"/>
        </w:rPr>
        <w:t>hm</w:t>
      </w:r>
      <w:r>
        <w:rPr>
          <w:rFonts w:hint="eastAsia"/>
          <w:vertAlign w:val="superscript"/>
        </w:rPr>
        <w:t>2</w:t>
      </w:r>
      <w:r>
        <w:rPr>
          <w:rFonts w:hint="eastAsia"/>
        </w:rPr>
        <w:t>，堤防土方开挖、土方填筑、砂砾石垫层、格宾石笼、土工布、路面施工等；</w:t>
      </w:r>
      <w:r>
        <w:t>临时损毁土地</w:t>
      </w:r>
      <w:r>
        <w:rPr>
          <w:rFonts w:hint="eastAsia"/>
        </w:rPr>
        <w:t>主要</w:t>
      </w:r>
      <w:r>
        <w:t>由材料堆场（临时围堰）、材料堆场、施工便道和地下管线敷设作业（施工基坑）等组成</w:t>
      </w:r>
      <w:r>
        <w:rPr>
          <w:rFonts w:hint="eastAsia"/>
        </w:rPr>
        <w:t>，损毁面积为</w:t>
      </w:r>
      <w:r>
        <w:t>8.2789 hm</w:t>
      </w:r>
      <w:r>
        <w:rPr>
          <w:vertAlign w:val="superscript"/>
        </w:rPr>
        <w:t>2</w:t>
      </w:r>
      <w:r>
        <w:t>。</w:t>
      </w:r>
    </w:p>
    <w:p>
      <w:pPr>
        <w:pStyle w:val="52"/>
      </w:pPr>
      <w:bookmarkStart w:id="32" w:name="_Toc236071638"/>
      <w:r>
        <w:rPr>
          <w:rFonts w:hint="eastAsia"/>
        </w:rPr>
        <w:t>（二</w:t>
      </w:r>
      <w:r>
        <w:t>）复垦责任范围</w:t>
      </w:r>
      <w:bookmarkEnd w:id="32"/>
    </w:p>
    <w:p>
      <w:pPr>
        <w:pStyle w:val="59"/>
        <w:ind w:firstLine="480"/>
      </w:pPr>
      <w:r>
        <w:t>根据土地复垦方案编制规程可知，复垦责任范围是指复垦区中损毁土地及不再留续使用的永久性建设用地构成的区域。本方案不存在不再留续使用的永久性建设用地，因此复垦责任范围为临时损毁土地，面积为8.2789hm</w:t>
      </w:r>
      <w:r>
        <w:rPr>
          <w:vertAlign w:val="superscript"/>
        </w:rPr>
        <w:t>2</w:t>
      </w:r>
      <w:r>
        <w:t>。</w:t>
      </w:r>
    </w:p>
    <w:p>
      <w:pPr>
        <w:pStyle w:val="51"/>
      </w:pPr>
      <w:bookmarkStart w:id="33" w:name="_Toc236071639"/>
      <w:bookmarkStart w:id="34" w:name="_Toc236071681"/>
      <w:r>
        <w:rPr>
          <w:rFonts w:hint="eastAsia"/>
        </w:rPr>
        <w:t>四</w:t>
      </w:r>
      <w:r>
        <w:t>、</w:t>
      </w:r>
      <w:r>
        <w:rPr>
          <w:rFonts w:hint="eastAsia"/>
        </w:rPr>
        <w:t>土地损毁程度分析</w:t>
      </w:r>
      <w:bookmarkEnd w:id="33"/>
      <w:bookmarkEnd w:id="34"/>
    </w:p>
    <w:p>
      <w:pPr>
        <w:pStyle w:val="52"/>
      </w:pPr>
      <w:bookmarkStart w:id="35" w:name="_Toc236071640"/>
      <w:r>
        <w:rPr>
          <w:rFonts w:hint="eastAsia"/>
        </w:rPr>
        <w:t>（一</w:t>
      </w:r>
      <w:r>
        <w:t>）</w:t>
      </w:r>
      <w:r>
        <w:rPr>
          <w:rFonts w:hint="eastAsia"/>
        </w:rPr>
        <w:t>施工准备期</w:t>
      </w:r>
      <w:bookmarkEnd w:id="35"/>
    </w:p>
    <w:p>
      <w:pPr>
        <w:pStyle w:val="59"/>
        <w:ind w:firstLine="480"/>
      </w:pPr>
      <w:r>
        <w:t>时序节点：主体工程开工前，临时用地进场施工第一道工序</w:t>
      </w:r>
    </w:p>
    <w:p>
      <w:pPr>
        <w:pStyle w:val="59"/>
        <w:ind w:firstLine="480"/>
      </w:pPr>
      <w:r>
        <w:t>损毁环节：</w:t>
      </w:r>
    </w:p>
    <w:p>
      <w:pPr>
        <w:pStyle w:val="59"/>
        <w:ind w:firstLine="480"/>
      </w:pPr>
      <w:r>
        <w:t>占地红线范围内清障损毁：清除树木、杂草、农作物，破坏地表植被、根系层，地表原生覆盖层完全损毁；</w:t>
      </w:r>
    </w:p>
    <w:p>
      <w:pPr>
        <w:pStyle w:val="59"/>
        <w:ind w:firstLine="480"/>
      </w:pPr>
      <w:r>
        <w:t>表土剥离损毁：机械推挖剥离30 cm耕作层，扰动原有土壤剖面结构，土壤团粒、有机质层剥离移位，原地层结构永久性破坏；</w:t>
      </w:r>
    </w:p>
    <w:p>
      <w:pPr>
        <w:pStyle w:val="59"/>
        <w:ind w:firstLine="480"/>
      </w:pPr>
      <w:r>
        <w:t>剥离表土转运、堆存碾压损毁：表土运输车辆通行、堆土区机械碾压，造成表土压实、土体板结，地表原有地貌改变。</w:t>
      </w:r>
    </w:p>
    <w:p>
      <w:pPr>
        <w:pStyle w:val="59"/>
        <w:ind w:firstLine="480"/>
      </w:pPr>
      <w:r>
        <w:t>涉及全部四类临时用地：材料堆场（临时围堰）占地、堆料区、施工道路、基坑占地均同步发生本阶段损毁。</w:t>
      </w:r>
    </w:p>
    <w:p>
      <w:pPr>
        <w:pStyle w:val="52"/>
      </w:pPr>
      <w:bookmarkStart w:id="36" w:name="_Toc236071641"/>
      <w:r>
        <w:rPr>
          <w:rFonts w:hint="eastAsia"/>
        </w:rPr>
        <w:t>（二</w:t>
      </w:r>
      <w:r>
        <w:t>）临时工程建设期</w:t>
      </w:r>
      <w:bookmarkEnd w:id="36"/>
    </w:p>
    <w:p>
      <w:pPr>
        <w:pStyle w:val="53"/>
      </w:pPr>
      <w:bookmarkStart w:id="37" w:name="_Toc236071642"/>
      <w:r>
        <w:rPr>
          <w:rFonts w:hint="eastAsia"/>
        </w:rPr>
        <w:t>1</w:t>
      </w:r>
      <w:r>
        <w:t>.临时施工道路（最先建设，持续时间最长）</w:t>
      </w:r>
      <w:bookmarkEnd w:id="37"/>
    </w:p>
    <w:p>
      <w:pPr>
        <w:pStyle w:val="59"/>
        <w:ind w:firstLine="480"/>
      </w:pPr>
      <w:r>
        <w:t>时序：表土剥离完成后立即开展路基施工</w:t>
      </w:r>
    </w:p>
    <w:p>
      <w:pPr>
        <w:pStyle w:val="59"/>
        <w:ind w:firstLine="480"/>
      </w:pPr>
      <w:r>
        <w:t>损毁环节：路基开挖、软基换填片石、土石方分层填筑、重型机械反复碾压；路面碎石/钢板全覆盖占压，完全阻断土壤透气透水通道，土壤压实损毁严重；两侧开挖边沟，切割地表土体，形成边坡裸露冲刷损毁。</w:t>
      </w:r>
    </w:p>
    <w:p>
      <w:pPr>
        <w:pStyle w:val="53"/>
      </w:pPr>
      <w:bookmarkStart w:id="38" w:name="_Toc236071643"/>
      <w:r>
        <w:rPr>
          <w:rFonts w:hint="eastAsia"/>
        </w:rPr>
        <w:t>2</w:t>
      </w:r>
      <w:r>
        <w:t>.材料堆场（与道路同步施工）</w:t>
      </w:r>
      <w:bookmarkEnd w:id="38"/>
    </w:p>
    <w:p>
      <w:pPr>
        <w:pStyle w:val="59"/>
        <w:ind w:firstLine="480"/>
      </w:pPr>
      <w:r>
        <w:t>时序：道路路基成型后同步平整料场</w:t>
      </w:r>
    </w:p>
    <w:p>
      <w:pPr>
        <w:pStyle w:val="59"/>
        <w:ind w:firstLine="480"/>
      </w:pPr>
      <w:r>
        <w:t>损毁环节：场地挖填整平、软基碎石换填、硬化地坪浇筑；围挡、隔墙开挖基槽扰动土体；砂石、块石、建材长期堆载重压，地表土壤持续受压板结；环形截排水沟开挖切割地表，裸露土体易产生水土流失损毁。</w:t>
      </w:r>
    </w:p>
    <w:p>
      <w:pPr>
        <w:pStyle w:val="53"/>
      </w:pPr>
      <w:bookmarkStart w:id="39" w:name="_Toc236071644"/>
      <w:r>
        <w:rPr>
          <w:rFonts w:hint="eastAsia"/>
        </w:rPr>
        <w:t>3</w:t>
      </w:r>
      <w:r>
        <w:t>.地下管线敷设作业（施工基坑）（</w:t>
      </w:r>
      <w:r>
        <w:rPr>
          <w:rFonts w:hint="eastAsia"/>
        </w:rPr>
        <w:t>堤基</w:t>
      </w:r>
      <w:r>
        <w:t>开工后开展）</w:t>
      </w:r>
      <w:bookmarkEnd w:id="39"/>
    </w:p>
    <w:p>
      <w:pPr>
        <w:pStyle w:val="59"/>
        <w:ind w:firstLine="480"/>
      </w:pPr>
      <w:r>
        <w:t>时序：场内道路、料场成型，围堰合拢挡水后启动</w:t>
      </w:r>
    </w:p>
    <w:p>
      <w:pPr>
        <w:pStyle w:val="59"/>
        <w:ind w:firstLine="480"/>
      </w:pPr>
      <w:r>
        <w:t>损毁环节：大面积土方开挖，深层土体大面积裸露，原有地形完全改变；基坑放坡、马道开挖形成大面积裸露边坡；钢板桩支护开槽扰动周边土体；坑内长期积水浸泡基底，软化土层，造成土体侵蚀损毁；开挖弃土临时堆载加重地表碾压损毁。</w:t>
      </w:r>
    </w:p>
    <w:p>
      <w:pPr>
        <w:pStyle w:val="53"/>
      </w:pPr>
      <w:bookmarkStart w:id="40" w:name="_Toc236071645"/>
      <w:r>
        <w:rPr>
          <w:rFonts w:hint="eastAsia"/>
        </w:rPr>
        <w:t>4</w:t>
      </w:r>
      <w:r>
        <w:t>.材料堆场（临时围堰）（河道先行施工，早于基坑）</w:t>
      </w:r>
      <w:bookmarkEnd w:id="40"/>
    </w:p>
    <w:p>
      <w:pPr>
        <w:pStyle w:val="59"/>
        <w:ind w:firstLine="480"/>
      </w:pPr>
      <w:r>
        <w:t>时序：河道截流前最先施工的临时构筑物</w:t>
      </w:r>
    </w:p>
    <w:p>
      <w:pPr>
        <w:pStyle w:val="59"/>
        <w:ind w:firstLine="480"/>
      </w:pPr>
      <w:r>
        <w:t>损毁环节：河床表层清淤、岸坡清基开挖破坏河道原生滩地；大量土石方分层填筑占压河床、岸坡，完全改变原有河道地貌；堰体填筑碾压压实土体，岸坡开挖截渗沟、排水盲沟切割地表；临水侧长期泡水侵蚀岸坡土体。</w:t>
      </w:r>
    </w:p>
    <w:p>
      <w:pPr>
        <w:pStyle w:val="53"/>
      </w:pPr>
      <w:bookmarkStart w:id="41" w:name="_Toc236071646"/>
      <w:r>
        <w:rPr>
          <w:rFonts w:hint="eastAsia"/>
        </w:rPr>
        <w:t>5</w:t>
      </w:r>
      <w:r>
        <w:t>.</w:t>
      </w:r>
      <w:r>
        <w:rPr>
          <w:rFonts w:hint="eastAsia"/>
        </w:rPr>
        <w:t>临时工程拆除期</w:t>
      </w:r>
      <w:bookmarkEnd w:id="41"/>
    </w:p>
    <w:p>
      <w:pPr>
        <w:pStyle w:val="59"/>
        <w:ind w:firstLine="480"/>
      </w:pPr>
      <w:r>
        <w:rPr>
          <w:rFonts w:hint="eastAsia"/>
        </w:rPr>
        <w:t>时序：防洪堤主体浇筑、养护完成，具备行洪条件后依次拆除</w:t>
      </w:r>
    </w:p>
    <w:p>
      <w:pPr>
        <w:pStyle w:val="59"/>
        <w:ind w:firstLine="480"/>
      </w:pPr>
      <w:r>
        <w:rPr>
          <w:rFonts w:hint="eastAsia"/>
        </w:rPr>
        <w:t>拆除时序：材料堆场（临时围堰）→临时基坑支护→材料堆场硬化→临时施工道路</w:t>
      </w:r>
    </w:p>
    <w:p>
      <w:pPr>
        <w:pStyle w:val="59"/>
        <w:ind w:firstLine="480"/>
      </w:pPr>
      <w:r>
        <w:rPr>
          <w:rFonts w:hint="eastAsia"/>
        </w:rPr>
        <w:t>损毁环节：机械拆除扰动损毁：挖掘机、破碎锤破除硬化地坪、围堰、支护结构，二次扰动周边土体，产生大量松散弃渣；</w:t>
      </w:r>
    </w:p>
    <w:p>
      <w:pPr>
        <w:pStyle w:val="59"/>
        <w:ind w:firstLine="480"/>
      </w:pPr>
      <w:r>
        <w:rPr>
          <w:rFonts w:hint="eastAsia"/>
        </w:rPr>
        <w:t>废渣清运碾压损毁：弃土、碎石、建筑垃圾外运，车辆再次碾压场地；拆除后场地凹凸不平，形成裸露松散土体，短时间内水土流失损毁加剧。</w:t>
      </w:r>
    </w:p>
    <w:p>
      <w:pPr>
        <w:pStyle w:val="53"/>
      </w:pPr>
      <w:bookmarkStart w:id="42" w:name="_Toc236071647"/>
      <w:r>
        <w:rPr>
          <w:rFonts w:hint="eastAsia"/>
        </w:rPr>
        <w:t>6</w:t>
      </w:r>
      <w:r>
        <w:t>.</w:t>
      </w:r>
      <w:r>
        <w:rPr>
          <w:rFonts w:hint="eastAsia"/>
        </w:rPr>
        <w:t>场地平整与复垦期</w:t>
      </w:r>
      <w:bookmarkEnd w:id="42"/>
    </w:p>
    <w:p>
      <w:pPr>
        <w:pStyle w:val="59"/>
        <w:ind w:firstLine="480"/>
      </w:pPr>
      <w:r>
        <w:rPr>
          <w:rFonts w:hint="eastAsia"/>
        </w:rPr>
        <w:t>时序：全部临时构筑物拆除清运完毕</w:t>
      </w:r>
    </w:p>
    <w:p>
      <w:pPr>
        <w:pStyle w:val="59"/>
        <w:ind w:firstLine="480"/>
      </w:pPr>
      <w:r>
        <w:rPr>
          <w:rFonts w:hint="eastAsia"/>
        </w:rPr>
        <w:t>修复工序时序：场地平整压实→清理建筑垃圾→回铺前期剥离表土→整地疏松→植被恢复</w:t>
      </w:r>
    </w:p>
    <w:p>
      <w:pPr>
        <w:pStyle w:val="59"/>
        <w:ind w:firstLine="480"/>
      </w:pPr>
      <w:r>
        <w:rPr>
          <w:rFonts w:hint="eastAsia"/>
        </w:rPr>
        <w:t>修复后地表土壤结构、植被覆盖恢复，土地损毁状态消除。</w:t>
      </w:r>
    </w:p>
    <w:p>
      <w:pPr>
        <w:pStyle w:val="68"/>
        <w:ind w:firstLine="420"/>
      </w:pPr>
      <w:r>
        <w:rPr>
          <w:rFonts w:hint="eastAsia"/>
        </w:rPr>
        <w:t>表</w:t>
      </w:r>
      <w:r>
        <w:t>1</w:t>
      </w:r>
      <w:r>
        <w:rPr>
          <w:rFonts w:hint="eastAsia"/>
        </w:rPr>
        <w:t xml:space="preserve"> 土地损毁环节与时序</w:t>
      </w:r>
    </w:p>
    <w:tbl>
      <w:tblPr>
        <w:tblStyle w:val="35"/>
        <w:tblW w:w="83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48"/>
        <w:gridCol w:w="1419"/>
        <w:gridCol w:w="1704"/>
        <w:gridCol w:w="3550"/>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blHeader/>
          <w:jc w:val="center"/>
        </w:trPr>
        <w:tc>
          <w:tcPr>
            <w:tcW w:w="848" w:type="dxa"/>
            <w:tcMar>
              <w:top w:w="60" w:type="dxa"/>
              <w:left w:w="120" w:type="dxa"/>
              <w:bottom w:w="30" w:type="dxa"/>
              <w:right w:w="120" w:type="dxa"/>
            </w:tcMar>
            <w:vAlign w:val="center"/>
          </w:tcPr>
          <w:p>
            <w:pPr>
              <w:pStyle w:val="66"/>
            </w:pPr>
            <w:r>
              <w:t>损毁阶段</w:t>
            </w:r>
          </w:p>
        </w:tc>
        <w:tc>
          <w:tcPr>
            <w:tcW w:w="1419" w:type="dxa"/>
            <w:tcMar>
              <w:top w:w="60" w:type="dxa"/>
              <w:left w:w="120" w:type="dxa"/>
              <w:bottom w:w="30" w:type="dxa"/>
              <w:right w:w="120" w:type="dxa"/>
            </w:tcMar>
            <w:vAlign w:val="center"/>
          </w:tcPr>
          <w:p>
            <w:pPr>
              <w:pStyle w:val="66"/>
            </w:pPr>
            <w:r>
              <w:t>时序节点</w:t>
            </w:r>
          </w:p>
        </w:tc>
        <w:tc>
          <w:tcPr>
            <w:tcW w:w="1704" w:type="dxa"/>
            <w:tcMar>
              <w:top w:w="60" w:type="dxa"/>
              <w:left w:w="120" w:type="dxa"/>
              <w:bottom w:w="30" w:type="dxa"/>
              <w:right w:w="120" w:type="dxa"/>
            </w:tcMar>
            <w:vAlign w:val="center"/>
          </w:tcPr>
          <w:p>
            <w:pPr>
              <w:pStyle w:val="66"/>
            </w:pPr>
            <w:r>
              <w:t>涉及临时用地类型</w:t>
            </w:r>
          </w:p>
        </w:tc>
        <w:tc>
          <w:tcPr>
            <w:tcW w:w="3550" w:type="dxa"/>
            <w:tcMar>
              <w:top w:w="60" w:type="dxa"/>
              <w:left w:w="120" w:type="dxa"/>
              <w:bottom w:w="30" w:type="dxa"/>
              <w:right w:w="120" w:type="dxa"/>
            </w:tcMar>
            <w:vAlign w:val="center"/>
          </w:tcPr>
          <w:p>
            <w:pPr>
              <w:pStyle w:val="66"/>
            </w:pPr>
            <w:r>
              <w:t>核心损毁环节</w:t>
            </w:r>
          </w:p>
        </w:tc>
        <w:tc>
          <w:tcPr>
            <w:tcW w:w="789" w:type="dxa"/>
            <w:tcMar>
              <w:top w:w="60" w:type="dxa"/>
              <w:left w:w="120" w:type="dxa"/>
              <w:bottom w:w="30" w:type="dxa"/>
              <w:right w:w="120" w:type="dxa"/>
            </w:tcMar>
            <w:vAlign w:val="center"/>
          </w:tcPr>
          <w:p>
            <w:pPr>
              <w:pStyle w:val="66"/>
            </w:pPr>
            <w:r>
              <w:t>损毁程度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jc w:val="center"/>
        </w:trPr>
        <w:tc>
          <w:tcPr>
            <w:tcW w:w="848" w:type="dxa"/>
            <w:tcMar>
              <w:top w:w="60" w:type="dxa"/>
              <w:left w:w="120" w:type="dxa"/>
              <w:bottom w:w="30" w:type="dxa"/>
              <w:right w:w="120" w:type="dxa"/>
            </w:tcMar>
            <w:vAlign w:val="center"/>
          </w:tcPr>
          <w:p>
            <w:pPr>
              <w:pStyle w:val="66"/>
            </w:pPr>
            <w:r>
              <w:t>施工准备期</w:t>
            </w:r>
          </w:p>
        </w:tc>
        <w:tc>
          <w:tcPr>
            <w:tcW w:w="1419" w:type="dxa"/>
            <w:tcMar>
              <w:top w:w="60" w:type="dxa"/>
              <w:left w:w="120" w:type="dxa"/>
              <w:bottom w:w="30" w:type="dxa"/>
              <w:right w:w="120" w:type="dxa"/>
            </w:tcMar>
            <w:vAlign w:val="center"/>
          </w:tcPr>
          <w:p>
            <w:pPr>
              <w:pStyle w:val="66"/>
            </w:pPr>
            <w:r>
              <w:t>主体工程开工前，临时用地进场施工第一道工序</w:t>
            </w:r>
          </w:p>
        </w:tc>
        <w:tc>
          <w:tcPr>
            <w:tcW w:w="1704" w:type="dxa"/>
            <w:tcMar>
              <w:top w:w="60" w:type="dxa"/>
              <w:left w:w="120" w:type="dxa"/>
              <w:bottom w:w="30" w:type="dxa"/>
              <w:right w:w="120" w:type="dxa"/>
            </w:tcMar>
            <w:vAlign w:val="center"/>
          </w:tcPr>
          <w:p>
            <w:pPr>
              <w:pStyle w:val="66"/>
            </w:pPr>
            <w:r>
              <w:t>全部四类临时用地（材料堆场（临时围堰）、材料堆场、临时施工道路、地下管线敷设作业（施工基坑））</w:t>
            </w:r>
          </w:p>
        </w:tc>
        <w:tc>
          <w:tcPr>
            <w:tcW w:w="3550" w:type="dxa"/>
            <w:tcMar>
              <w:top w:w="60" w:type="dxa"/>
              <w:left w:w="120" w:type="dxa"/>
              <w:bottom w:w="30" w:type="dxa"/>
              <w:right w:w="120" w:type="dxa"/>
            </w:tcMar>
            <w:vAlign w:val="center"/>
          </w:tcPr>
          <w:p>
            <w:pPr>
              <w:pStyle w:val="66"/>
              <w:jc w:val="both"/>
            </w:pPr>
            <w:r>
              <w:t>1. 占地红线内清障，清除地表植被、农作物、树木，完全破坏原生地表覆盖层；2.表土剥离，机械推挖 30cm耕作层，永久性破坏原有土壤剖面结构；3. 剥离表土转运、堆存，运输车辆碾压造成表土板结、原地貌改变</w:t>
            </w:r>
          </w:p>
        </w:tc>
        <w:tc>
          <w:tcPr>
            <w:tcW w:w="789" w:type="dxa"/>
            <w:tcMar>
              <w:top w:w="60" w:type="dxa"/>
              <w:left w:w="120" w:type="dxa"/>
              <w:bottom w:w="30" w:type="dxa"/>
              <w:right w:w="120" w:type="dxa"/>
            </w:tcMar>
            <w:vAlign w:val="center"/>
          </w:tcPr>
          <w:p>
            <w:pPr>
              <w:pStyle w:val="66"/>
            </w:pPr>
            <w:r>
              <w:t>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jc w:val="center"/>
        </w:trPr>
        <w:tc>
          <w:tcPr>
            <w:tcW w:w="848" w:type="dxa"/>
            <w:tcMar>
              <w:top w:w="60" w:type="dxa"/>
              <w:left w:w="120" w:type="dxa"/>
              <w:bottom w:w="30" w:type="dxa"/>
              <w:right w:w="120" w:type="dxa"/>
            </w:tcMar>
            <w:vAlign w:val="center"/>
          </w:tcPr>
          <w:p>
            <w:pPr>
              <w:pStyle w:val="66"/>
            </w:pPr>
            <w:r>
              <w:t>临时工程建设期</w:t>
            </w:r>
          </w:p>
        </w:tc>
        <w:tc>
          <w:tcPr>
            <w:tcW w:w="1419" w:type="dxa"/>
            <w:tcMar>
              <w:top w:w="60" w:type="dxa"/>
              <w:left w:w="120" w:type="dxa"/>
              <w:bottom w:w="30" w:type="dxa"/>
              <w:right w:w="120" w:type="dxa"/>
            </w:tcMar>
            <w:vAlign w:val="center"/>
          </w:tcPr>
          <w:p>
            <w:pPr>
              <w:pStyle w:val="66"/>
            </w:pPr>
            <w:r>
              <w:t>表土剥离完成后，分批次启动临时工程建设</w:t>
            </w:r>
          </w:p>
        </w:tc>
        <w:tc>
          <w:tcPr>
            <w:tcW w:w="1704" w:type="dxa"/>
            <w:tcMar>
              <w:top w:w="60" w:type="dxa"/>
              <w:left w:w="120" w:type="dxa"/>
              <w:bottom w:w="30" w:type="dxa"/>
              <w:right w:w="120" w:type="dxa"/>
            </w:tcMar>
            <w:vAlign w:val="center"/>
          </w:tcPr>
          <w:p>
            <w:pPr>
              <w:pStyle w:val="66"/>
            </w:pPr>
            <w:r>
              <w:t>分批次覆盖四类临时用地</w:t>
            </w:r>
          </w:p>
        </w:tc>
        <w:tc>
          <w:tcPr>
            <w:tcW w:w="3550" w:type="dxa"/>
            <w:tcMar>
              <w:top w:w="60" w:type="dxa"/>
              <w:left w:w="120" w:type="dxa"/>
              <w:bottom w:w="30" w:type="dxa"/>
              <w:right w:w="120" w:type="dxa"/>
            </w:tcMar>
            <w:vAlign w:val="center"/>
          </w:tcPr>
          <w:p>
            <w:pPr>
              <w:pStyle w:val="66"/>
              <w:jc w:val="both"/>
            </w:pPr>
            <w:r>
              <w:t>【临时施工道路】（最先启动）：路基开挖、软基片石换填、土石方分层填筑，重型机械反复碾压，路面全覆盖占压阻断土壤透气透水通道，两侧边沟开挖切割地表土体；【材料堆场】（与道路同步）：场地挖填整平、软基碎石换填、隔墙基槽开挖扰动土体，截排水沟开挖形成裸露边坡；【材料堆场（临时围堰）】（河道截流前）：河床清淤、岸坡清基开挖破坏原生滩地，大量土石方填筑占压河床 / 岸坡，完全改变河道原有地貌；【地下管线敷设作业（施工基坑）】（围堰合拢后）：大面积深层土方开挖，原有地形完全改变，放坡 / 马道开挖形成大面积裸露边坡，钢板桩支护扰动周边土体，坑内积水浸泡软化基底土层</w:t>
            </w:r>
          </w:p>
        </w:tc>
        <w:tc>
          <w:tcPr>
            <w:tcW w:w="789" w:type="dxa"/>
            <w:tcMar>
              <w:top w:w="60" w:type="dxa"/>
              <w:left w:w="120" w:type="dxa"/>
              <w:bottom w:w="30" w:type="dxa"/>
              <w:right w:w="120" w:type="dxa"/>
            </w:tcMar>
            <w:vAlign w:val="center"/>
          </w:tcPr>
          <w:p>
            <w:pPr>
              <w:pStyle w:val="66"/>
            </w:pPr>
            <w:r>
              <w:t xml:space="preserve">中度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jc w:val="center"/>
        </w:trPr>
        <w:tc>
          <w:tcPr>
            <w:tcW w:w="848" w:type="dxa"/>
            <w:tcMar>
              <w:top w:w="60" w:type="dxa"/>
              <w:left w:w="120" w:type="dxa"/>
              <w:bottom w:w="30" w:type="dxa"/>
              <w:right w:w="120" w:type="dxa"/>
            </w:tcMar>
            <w:vAlign w:val="center"/>
          </w:tcPr>
          <w:p>
            <w:pPr>
              <w:pStyle w:val="66"/>
            </w:pPr>
            <w:r>
              <w:t>主体工程施工期</w:t>
            </w:r>
          </w:p>
        </w:tc>
        <w:tc>
          <w:tcPr>
            <w:tcW w:w="1419" w:type="dxa"/>
            <w:tcMar>
              <w:top w:w="60" w:type="dxa"/>
              <w:left w:w="120" w:type="dxa"/>
              <w:bottom w:w="30" w:type="dxa"/>
              <w:right w:w="120" w:type="dxa"/>
            </w:tcMar>
            <w:vAlign w:val="center"/>
          </w:tcPr>
          <w:p>
            <w:pPr>
              <w:pStyle w:val="66"/>
            </w:pPr>
            <w:r>
              <w:t>四类临时工程全部成型后，防洪堤主体浇筑、砌筑全过程</w:t>
            </w:r>
          </w:p>
        </w:tc>
        <w:tc>
          <w:tcPr>
            <w:tcW w:w="1704" w:type="dxa"/>
            <w:tcMar>
              <w:top w:w="60" w:type="dxa"/>
              <w:left w:w="120" w:type="dxa"/>
              <w:bottom w:w="30" w:type="dxa"/>
              <w:right w:w="120" w:type="dxa"/>
            </w:tcMar>
            <w:vAlign w:val="center"/>
          </w:tcPr>
          <w:p>
            <w:pPr>
              <w:pStyle w:val="66"/>
            </w:pPr>
            <w:r>
              <w:t>全部四类临时用地（全场地持续扰动）</w:t>
            </w:r>
          </w:p>
        </w:tc>
        <w:tc>
          <w:tcPr>
            <w:tcW w:w="3550" w:type="dxa"/>
            <w:tcMar>
              <w:top w:w="60" w:type="dxa"/>
              <w:left w:w="120" w:type="dxa"/>
              <w:bottom w:w="30" w:type="dxa"/>
              <w:right w:w="120" w:type="dxa"/>
            </w:tcMar>
            <w:vAlign w:val="center"/>
          </w:tcPr>
          <w:p>
            <w:pPr>
              <w:pStyle w:val="66"/>
              <w:jc w:val="both"/>
            </w:pPr>
            <w:r>
              <w:t>1. 场内运输车辆往复通行，持续碾压压实地表；2. 堆料区长期物料堆载，持续重压破坏土壤结构；3. 基坑周边持续扰动，边坡长期裸露易冲刷坍塌；4. 围堰汛期水位波动、渗流冲刷，加剧岸滩土体侵蚀；5. 施工废水漫流冲刷裸露土体，形成面蚀、细沟侵蚀</w:t>
            </w:r>
          </w:p>
        </w:tc>
        <w:tc>
          <w:tcPr>
            <w:tcW w:w="789" w:type="dxa"/>
            <w:tcMar>
              <w:top w:w="60" w:type="dxa"/>
              <w:left w:w="120" w:type="dxa"/>
              <w:bottom w:w="30" w:type="dxa"/>
              <w:right w:w="120" w:type="dxa"/>
            </w:tcMar>
            <w:vAlign w:val="center"/>
          </w:tcPr>
          <w:p>
            <w:pPr>
              <w:pStyle w:val="66"/>
            </w:pPr>
            <w:r>
              <w:t>重度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jc w:val="center"/>
        </w:trPr>
        <w:tc>
          <w:tcPr>
            <w:tcW w:w="848" w:type="dxa"/>
            <w:tcMar>
              <w:top w:w="60" w:type="dxa"/>
              <w:left w:w="120" w:type="dxa"/>
              <w:bottom w:w="30" w:type="dxa"/>
              <w:right w:w="120" w:type="dxa"/>
            </w:tcMar>
            <w:vAlign w:val="center"/>
          </w:tcPr>
          <w:p>
            <w:pPr>
              <w:pStyle w:val="66"/>
            </w:pPr>
            <w:r>
              <w:t>临时工程拆除期</w:t>
            </w:r>
          </w:p>
        </w:tc>
        <w:tc>
          <w:tcPr>
            <w:tcW w:w="1419" w:type="dxa"/>
            <w:tcMar>
              <w:top w:w="60" w:type="dxa"/>
              <w:left w:w="120" w:type="dxa"/>
              <w:bottom w:w="30" w:type="dxa"/>
              <w:right w:w="120" w:type="dxa"/>
            </w:tcMar>
            <w:vAlign w:val="center"/>
          </w:tcPr>
          <w:p>
            <w:pPr>
              <w:pStyle w:val="66"/>
            </w:pPr>
            <w:r>
              <w:t>防洪堤主体浇筑养护完成、具备行洪条件后，按顺序拆除临时工程</w:t>
            </w:r>
          </w:p>
        </w:tc>
        <w:tc>
          <w:tcPr>
            <w:tcW w:w="1704" w:type="dxa"/>
            <w:tcMar>
              <w:top w:w="60" w:type="dxa"/>
              <w:left w:w="120" w:type="dxa"/>
              <w:bottom w:w="30" w:type="dxa"/>
              <w:right w:w="120" w:type="dxa"/>
            </w:tcMar>
            <w:vAlign w:val="center"/>
          </w:tcPr>
          <w:p>
            <w:pPr>
              <w:pStyle w:val="66"/>
            </w:pPr>
            <w:r>
              <w:t>全部四类临时用地</w:t>
            </w:r>
          </w:p>
        </w:tc>
        <w:tc>
          <w:tcPr>
            <w:tcW w:w="3550" w:type="dxa"/>
            <w:tcMar>
              <w:top w:w="60" w:type="dxa"/>
              <w:left w:w="120" w:type="dxa"/>
              <w:bottom w:w="30" w:type="dxa"/>
              <w:right w:w="120" w:type="dxa"/>
            </w:tcMar>
            <w:vAlign w:val="center"/>
          </w:tcPr>
          <w:p>
            <w:pPr>
              <w:pStyle w:val="66"/>
              <w:jc w:val="both"/>
            </w:pPr>
            <w:r>
              <w:t>1. 机械拆除围堰、支护，二次扰动周边土体，产生大量松散弃渣；2. 弃土、碎石、建筑垃圾外运，运输车辆再次碾压场地；3. 拆除后场地凹凸不平，裸露松散土体短时间内加剧水土流失</w:t>
            </w:r>
          </w:p>
        </w:tc>
        <w:tc>
          <w:tcPr>
            <w:tcW w:w="789" w:type="dxa"/>
            <w:tcMar>
              <w:top w:w="60" w:type="dxa"/>
              <w:left w:w="120" w:type="dxa"/>
              <w:bottom w:w="30" w:type="dxa"/>
              <w:right w:w="120" w:type="dxa"/>
            </w:tcMar>
            <w:vAlign w:val="center"/>
          </w:tcPr>
          <w:p>
            <w:pPr>
              <w:pStyle w:val="66"/>
            </w:pPr>
            <w:r>
              <w:t xml:space="preserve">中度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jc w:val="center"/>
        </w:trPr>
        <w:tc>
          <w:tcPr>
            <w:tcW w:w="848" w:type="dxa"/>
            <w:tcMar>
              <w:top w:w="60" w:type="dxa"/>
              <w:left w:w="120" w:type="dxa"/>
              <w:bottom w:w="30" w:type="dxa"/>
              <w:right w:w="120" w:type="dxa"/>
            </w:tcMar>
            <w:vAlign w:val="center"/>
          </w:tcPr>
          <w:p>
            <w:pPr>
              <w:pStyle w:val="66"/>
            </w:pPr>
            <w:r>
              <w:t>场地平整与复垦期</w:t>
            </w:r>
          </w:p>
        </w:tc>
        <w:tc>
          <w:tcPr>
            <w:tcW w:w="1419" w:type="dxa"/>
            <w:tcMar>
              <w:top w:w="60" w:type="dxa"/>
              <w:left w:w="120" w:type="dxa"/>
              <w:bottom w:w="30" w:type="dxa"/>
              <w:right w:w="120" w:type="dxa"/>
            </w:tcMar>
            <w:vAlign w:val="center"/>
          </w:tcPr>
          <w:p>
            <w:pPr>
              <w:pStyle w:val="66"/>
            </w:pPr>
            <w:r>
              <w:t>全部临时构筑物拆除清运完毕后，启动土地修复</w:t>
            </w:r>
          </w:p>
        </w:tc>
        <w:tc>
          <w:tcPr>
            <w:tcW w:w="1704" w:type="dxa"/>
            <w:tcMar>
              <w:top w:w="60" w:type="dxa"/>
              <w:left w:w="120" w:type="dxa"/>
              <w:bottom w:w="30" w:type="dxa"/>
              <w:right w:w="120" w:type="dxa"/>
            </w:tcMar>
            <w:vAlign w:val="center"/>
          </w:tcPr>
          <w:p>
            <w:pPr>
              <w:pStyle w:val="66"/>
            </w:pPr>
            <w:r>
              <w:t>全部四类临时用地</w:t>
            </w:r>
          </w:p>
        </w:tc>
        <w:tc>
          <w:tcPr>
            <w:tcW w:w="3550" w:type="dxa"/>
            <w:tcMar>
              <w:top w:w="60" w:type="dxa"/>
              <w:left w:w="120" w:type="dxa"/>
              <w:bottom w:w="30" w:type="dxa"/>
              <w:right w:w="120" w:type="dxa"/>
            </w:tcMar>
            <w:vAlign w:val="center"/>
          </w:tcPr>
          <w:p>
            <w:pPr>
              <w:pStyle w:val="66"/>
              <w:jc w:val="both"/>
            </w:pPr>
            <w:r>
              <w:t>1. 场地平整压实，全面清理建筑垃圾、工程废渣；2. 回铺前期剥离储存的表土，整地疏松，恢复耕作层结构；3. 植被恢复，重建地表覆盖层，完成临时用地复垦验收</w:t>
            </w:r>
          </w:p>
        </w:tc>
        <w:tc>
          <w:tcPr>
            <w:tcW w:w="789" w:type="dxa"/>
            <w:tcMar>
              <w:top w:w="60" w:type="dxa"/>
              <w:left w:w="120" w:type="dxa"/>
              <w:bottom w:w="30" w:type="dxa"/>
              <w:right w:w="120" w:type="dxa"/>
            </w:tcMar>
            <w:vAlign w:val="center"/>
          </w:tcPr>
          <w:p>
            <w:pPr>
              <w:pStyle w:val="66"/>
            </w:pPr>
            <w:r>
              <w:t>损毁消除</w:t>
            </w:r>
          </w:p>
        </w:tc>
      </w:tr>
    </w:tbl>
    <w:p>
      <w:pPr>
        <w:pStyle w:val="51"/>
      </w:pPr>
      <w:bookmarkStart w:id="43" w:name="_Toc236071682"/>
      <w:bookmarkStart w:id="44" w:name="_Toc236071648"/>
      <w:r>
        <w:rPr>
          <w:rFonts w:hint="eastAsia"/>
        </w:rPr>
        <w:t>五</w:t>
      </w:r>
      <w:r>
        <w:t>、</w:t>
      </w:r>
      <w:r>
        <w:rPr>
          <w:rFonts w:hint="eastAsia"/>
        </w:rPr>
        <w:t>土地复垦适宜性评价</w:t>
      </w:r>
      <w:bookmarkEnd w:id="43"/>
      <w:bookmarkEnd w:id="44"/>
    </w:p>
    <w:p>
      <w:pPr>
        <w:pStyle w:val="52"/>
      </w:pPr>
      <w:bookmarkStart w:id="45" w:name="_Toc236071649"/>
      <w:r>
        <w:rPr>
          <w:rFonts w:hint="eastAsia"/>
        </w:rPr>
        <w:t>（一）评价依据及方法</w:t>
      </w:r>
      <w:bookmarkEnd w:id="45"/>
    </w:p>
    <w:p>
      <w:pPr>
        <w:pStyle w:val="53"/>
      </w:pPr>
      <w:bookmarkStart w:id="46" w:name="_Toc236071650"/>
      <w:r>
        <w:rPr>
          <w:rFonts w:hint="eastAsia"/>
        </w:rPr>
        <w:t>1</w:t>
      </w:r>
      <w:r>
        <w:t>.</w:t>
      </w:r>
      <w:r>
        <w:rPr>
          <w:rFonts w:hint="eastAsia"/>
        </w:rPr>
        <w:t>评价依据</w:t>
      </w:r>
      <w:bookmarkEnd w:id="46"/>
    </w:p>
    <w:p>
      <w:pPr>
        <w:pStyle w:val="59"/>
        <w:ind w:firstLine="480"/>
      </w:pPr>
      <w:r>
        <w:rPr>
          <w:rFonts w:hint="eastAsia"/>
        </w:rPr>
        <w:t>土地复垦适宜性评价是在详细调查项目区土地损毁状况和损毁后的土地的自然条件基础上，参考土地损毁程度分析的结果，依据国家及地方的规划及行业标准，结合项目所在地区的复垦经验，采取切实可行的方法，改善被损毁土地的生态环境，确定复垦利用方向。其主要依据包括：</w:t>
      </w:r>
    </w:p>
    <w:p>
      <w:pPr>
        <w:pStyle w:val="59"/>
        <w:ind w:firstLine="480"/>
      </w:pPr>
      <w:r>
        <w:rPr>
          <w:rFonts w:hint="eastAsia"/>
        </w:rPr>
        <w:t>（1）土地复垦的相关法律法规和规划：《土地复垦条例》《土地复垦条例实施办法》《新疆生态功能区划》及项目涉及县市国土空间总体规划等；</w:t>
      </w:r>
    </w:p>
    <w:p>
      <w:pPr>
        <w:pStyle w:val="59"/>
        <w:ind w:firstLine="480"/>
      </w:pPr>
      <w:r>
        <w:rPr>
          <w:rFonts w:hint="eastAsia"/>
        </w:rPr>
        <w:t>（2）土地复垦相关规程和标准：《土地复垦方案编制规程》（2011）、《土地复垦质量控制标准》（TD/T 1036-2013）等；</w:t>
      </w:r>
    </w:p>
    <w:p>
      <w:pPr>
        <w:pStyle w:val="59"/>
        <w:ind w:firstLine="480"/>
      </w:pPr>
      <w:r>
        <w:rPr>
          <w:rFonts w:hint="eastAsia"/>
        </w:rPr>
        <w:t>（3）其他依据：项目区及复垦责任范围内自然社会经济状况、土壤条件、水文、地质、地形坡度、土地损毁程度分析结果、土地资源调查资料、土地损毁前后土地利用状况、公众参与意见等。</w:t>
      </w:r>
    </w:p>
    <w:p>
      <w:pPr>
        <w:pStyle w:val="53"/>
      </w:pPr>
      <w:bookmarkStart w:id="47" w:name="_Toc236071651"/>
      <w:r>
        <w:t>2.</w:t>
      </w:r>
      <w:r>
        <w:rPr>
          <w:rFonts w:hint="eastAsia"/>
        </w:rPr>
        <w:t>评价方法</w:t>
      </w:r>
      <w:bookmarkEnd w:id="47"/>
    </w:p>
    <w:p>
      <w:pPr>
        <w:pStyle w:val="59"/>
        <w:ind w:firstLine="480"/>
      </w:pPr>
      <w:r>
        <w:rPr>
          <w:rFonts w:hint="eastAsia"/>
        </w:rPr>
        <w:t>土地适宜性评价选用极限条件法，将影响土地利用因素中条件最差的因子作为决定适宜性等级的依据，并清晰地获得土地复垦的限制型因素。计算模型为：</w:t>
      </w:r>
    </w:p>
    <w:p>
      <w:pPr>
        <w:pStyle w:val="59"/>
        <w:ind w:firstLine="480"/>
      </w:pPr>
      <w:r>
        <w:rPr>
          <w:rFonts w:hint="eastAsia"/>
        </w:rPr>
        <w:t>极限条件法的计算公式为：Yi=min（Yij）</w:t>
      </w:r>
    </w:p>
    <w:p>
      <w:pPr>
        <w:pStyle w:val="59"/>
        <w:ind w:firstLine="480"/>
      </w:pPr>
      <w:r>
        <w:rPr>
          <w:rFonts w:hint="eastAsia"/>
        </w:rPr>
        <w:t>式中：Yi—第i个评价单元的最终分值；</w:t>
      </w:r>
    </w:p>
    <w:p>
      <w:pPr>
        <w:pStyle w:val="59"/>
        <w:ind w:firstLine="480"/>
      </w:pPr>
      <w:r>
        <w:rPr>
          <w:rFonts w:hint="eastAsia"/>
        </w:rPr>
        <w:t>Yij—第i个评价单元中第j参评因子的分值。</w:t>
      </w:r>
    </w:p>
    <w:p>
      <w:pPr>
        <w:pStyle w:val="52"/>
        <w:tabs>
          <w:tab w:val="left" w:pos="3495"/>
        </w:tabs>
      </w:pPr>
      <w:bookmarkStart w:id="48" w:name="_Toc236071652"/>
      <w:r>
        <w:rPr>
          <w:rFonts w:hint="eastAsia"/>
        </w:rPr>
        <w:t>（二）适宜性分析结果及最终复垦方向确定</w:t>
      </w:r>
      <w:bookmarkEnd w:id="48"/>
      <w:r>
        <w:tab/>
      </w:r>
    </w:p>
    <w:p>
      <w:pPr>
        <w:pStyle w:val="59"/>
        <w:ind w:firstLine="480"/>
      </w:pPr>
      <w:r>
        <w:rPr>
          <w:rFonts w:hint="eastAsia"/>
        </w:rPr>
        <w:t>依据土地复垦适宜性评价结果，同一评价单元存在多宜性，最终复垦方向的确定需要综合考虑多方面的因素。各评价单元土地最终的利用方向，除了与其自身的理化性质、破坏状态、区位条件等因素有关外，还与复垦的投入等有很大关系。本方案综合考虑复垦土地的生态功能区划、自然条件、社会条件、政策因素及公众意愿分析，通过类比分析，遵循前述评价原则，确定各评价单元最终的土地复垦方向为原地类。</w:t>
      </w:r>
    </w:p>
    <w:p>
      <w:pPr>
        <w:adjustRightInd w:val="0"/>
        <w:snapToGrid w:val="0"/>
        <w:spacing w:after="0" w:line="240" w:lineRule="auto"/>
        <w:ind w:firstLine="420"/>
        <w:jc w:val="right"/>
        <w:rPr>
          <w:rFonts w:ascii="黑体" w:hAnsi="黑体" w:eastAsia="黑体"/>
          <w:color w:val="000000" w:themeColor="text1"/>
          <w:sz w:val="21"/>
          <w:szCs w:val="21"/>
          <w:u w:color="000000" w:themeColor="text1"/>
          <w:vertAlign w:val="superscript"/>
          <w:lang w:eastAsia="zh-CN"/>
          <w14:textFill>
            <w14:solidFill>
              <w14:schemeClr w14:val="tx1"/>
            </w14:solidFill>
          </w14:textFill>
        </w:rPr>
      </w:pPr>
      <w:r>
        <w:rPr>
          <w:rFonts w:ascii="黑体" w:hAnsi="黑体" w:eastAsia="黑体"/>
          <w:color w:val="000000" w:themeColor="text1"/>
          <w:sz w:val="21"/>
          <w:szCs w:val="21"/>
          <w:u w:color="000000" w:themeColor="text1"/>
          <w:lang w:eastAsia="zh-CN"/>
          <w14:textFill>
            <w14:solidFill>
              <w14:schemeClr w14:val="tx1"/>
            </w14:solidFill>
          </w14:textFill>
        </w:rPr>
        <w:t xml:space="preserve">表2 最终土地复垦方向  </w:t>
      </w:r>
      <w:r>
        <w:rPr>
          <w:rFonts w:hint="eastAsia" w:ascii="黑体" w:hAnsi="黑体" w:eastAsia="黑体"/>
          <w:color w:val="000000" w:themeColor="text1"/>
          <w:sz w:val="21"/>
          <w:szCs w:val="21"/>
          <w:u w:color="000000" w:themeColor="text1"/>
          <w:lang w:eastAsia="zh-CN"/>
          <w14:textFill>
            <w14:solidFill>
              <w14:schemeClr w14:val="tx1"/>
            </w14:solidFill>
          </w14:textFill>
        </w:rPr>
        <w:t xml:space="preserve"> </w:t>
      </w:r>
      <w:r>
        <w:rPr>
          <w:rFonts w:ascii="黑体" w:hAnsi="黑体" w:eastAsia="黑体"/>
          <w:color w:val="000000" w:themeColor="text1"/>
          <w:sz w:val="21"/>
          <w:szCs w:val="21"/>
          <w:u w:color="000000" w:themeColor="text1"/>
          <w:lang w:eastAsia="zh-CN"/>
          <w14:textFill>
            <w14:solidFill>
              <w14:schemeClr w14:val="tx1"/>
            </w14:solidFill>
          </w14:textFill>
        </w:rPr>
        <w:t xml:space="preserve"> </w:t>
      </w:r>
      <w:r>
        <w:rPr>
          <w:rFonts w:hint="eastAsia" w:ascii="黑体" w:hAnsi="黑体" w:eastAsia="黑体"/>
          <w:color w:val="000000" w:themeColor="text1"/>
          <w:sz w:val="21"/>
          <w:szCs w:val="21"/>
          <w:u w:color="000000" w:themeColor="text1"/>
          <w:lang w:eastAsia="zh-CN"/>
          <w14:textFill>
            <w14:solidFill>
              <w14:schemeClr w14:val="tx1"/>
            </w14:solidFill>
          </w14:textFill>
        </w:rPr>
        <w:t xml:space="preserve">  </w:t>
      </w:r>
      <w:r>
        <w:rPr>
          <w:rFonts w:ascii="黑体" w:hAnsi="黑体" w:eastAsia="黑体"/>
          <w:color w:val="000000" w:themeColor="text1"/>
          <w:sz w:val="21"/>
          <w:szCs w:val="21"/>
          <w:u w:color="000000" w:themeColor="text1"/>
          <w:lang w:eastAsia="zh-CN"/>
          <w14:textFill>
            <w14:solidFill>
              <w14:schemeClr w14:val="tx1"/>
            </w14:solidFill>
          </w14:textFill>
        </w:rPr>
        <w:t xml:space="preserve">            单位：hm</w:t>
      </w:r>
      <w:r>
        <w:rPr>
          <w:rFonts w:ascii="黑体" w:hAnsi="黑体" w:eastAsia="黑体"/>
          <w:color w:val="000000" w:themeColor="text1"/>
          <w:sz w:val="21"/>
          <w:szCs w:val="21"/>
          <w:u w:color="000000" w:themeColor="text1"/>
          <w:vertAlign w:val="superscript"/>
          <w:lang w:eastAsia="zh-CN"/>
          <w14:textFill>
            <w14:solidFill>
              <w14:schemeClr w14:val="tx1"/>
            </w14:solidFill>
          </w14:textFill>
        </w:rPr>
        <w:t>2</w:t>
      </w:r>
    </w:p>
    <w:tbl>
      <w:tblPr>
        <w:tblStyle w:val="35"/>
        <w:tblW w:w="8310" w:type="dxa"/>
        <w:tblInd w:w="0" w:type="dxa"/>
        <w:tblLayout w:type="fixed"/>
        <w:tblCellMar>
          <w:top w:w="0" w:type="dxa"/>
          <w:left w:w="108" w:type="dxa"/>
          <w:bottom w:w="0" w:type="dxa"/>
          <w:right w:w="108" w:type="dxa"/>
        </w:tblCellMar>
      </w:tblPr>
      <w:tblGrid>
        <w:gridCol w:w="1418"/>
        <w:gridCol w:w="1276"/>
        <w:gridCol w:w="1416"/>
        <w:gridCol w:w="1278"/>
        <w:gridCol w:w="1418"/>
        <w:gridCol w:w="1504"/>
      </w:tblGrid>
      <w:tr>
        <w:tblPrEx>
          <w:tblLayout w:type="fixed"/>
          <w:tblCellMar>
            <w:top w:w="0" w:type="dxa"/>
            <w:left w:w="108" w:type="dxa"/>
            <w:bottom w:w="0" w:type="dxa"/>
            <w:right w:w="108" w:type="dxa"/>
          </w:tblCellMar>
        </w:tblPrEx>
        <w:trPr>
          <w:trHeight w:val="312" w:hRule="atLeast"/>
        </w:trPr>
        <w:tc>
          <w:tcPr>
            <w:tcW w:w="1418" w:type="dxa"/>
            <w:vMerge w:val="restart"/>
            <w:tcBorders>
              <w:top w:val="single" w:color="auto" w:sz="4" w:space="0"/>
              <w:left w:val="single" w:color="auto" w:sz="4" w:space="0"/>
              <w:bottom w:val="single" w:color="auto" w:sz="4" w:space="0"/>
              <w:right w:val="single" w:color="auto" w:sz="4" w:space="0"/>
            </w:tcBorders>
            <w:noWrap/>
            <w:vAlign w:val="center"/>
          </w:tcPr>
          <w:p>
            <w:pPr>
              <w:pStyle w:val="66"/>
            </w:pPr>
            <w:r>
              <w:t>评价类型</w:t>
            </w:r>
          </w:p>
        </w:tc>
        <w:tc>
          <w:tcPr>
            <w:tcW w:w="1276" w:type="dxa"/>
            <w:vMerge w:val="restart"/>
            <w:tcBorders>
              <w:top w:val="single" w:color="auto" w:sz="4" w:space="0"/>
              <w:left w:val="single" w:color="auto" w:sz="4" w:space="0"/>
              <w:bottom w:val="single" w:color="000000" w:sz="4" w:space="0"/>
              <w:right w:val="single" w:color="auto" w:sz="4" w:space="0"/>
            </w:tcBorders>
            <w:noWrap/>
            <w:vAlign w:val="center"/>
          </w:tcPr>
          <w:p>
            <w:pPr>
              <w:pStyle w:val="66"/>
            </w:pPr>
            <w:r>
              <w:t>行政村</w:t>
            </w:r>
          </w:p>
        </w:tc>
        <w:tc>
          <w:tcPr>
            <w:tcW w:w="1416" w:type="dxa"/>
            <w:vMerge w:val="restart"/>
            <w:tcBorders>
              <w:top w:val="single" w:color="auto" w:sz="4" w:space="0"/>
              <w:left w:val="single" w:color="auto" w:sz="4" w:space="0"/>
              <w:bottom w:val="single" w:color="auto" w:sz="4" w:space="0"/>
              <w:right w:val="single" w:color="auto" w:sz="4" w:space="0"/>
            </w:tcBorders>
            <w:noWrap/>
            <w:vAlign w:val="center"/>
          </w:tcPr>
          <w:p>
            <w:pPr>
              <w:pStyle w:val="66"/>
            </w:pPr>
            <w:r>
              <w:t>原地类</w:t>
            </w:r>
          </w:p>
        </w:tc>
        <w:tc>
          <w:tcPr>
            <w:tcW w:w="1278" w:type="dxa"/>
            <w:vMerge w:val="restart"/>
            <w:tcBorders>
              <w:top w:val="single" w:color="auto" w:sz="4" w:space="0"/>
              <w:left w:val="single" w:color="auto" w:sz="4" w:space="0"/>
              <w:bottom w:val="single" w:color="000000" w:sz="4" w:space="0"/>
              <w:right w:val="single" w:color="auto" w:sz="4" w:space="0"/>
            </w:tcBorders>
            <w:noWrap/>
            <w:vAlign w:val="center"/>
          </w:tcPr>
          <w:p>
            <w:pPr>
              <w:pStyle w:val="66"/>
            </w:pPr>
            <w:r>
              <w:t>复垦方向</w:t>
            </w:r>
          </w:p>
        </w:tc>
        <w:tc>
          <w:tcPr>
            <w:tcW w:w="1418" w:type="dxa"/>
            <w:vMerge w:val="restart"/>
            <w:tcBorders>
              <w:top w:val="single" w:color="auto" w:sz="4" w:space="0"/>
              <w:left w:val="single" w:color="auto" w:sz="4" w:space="0"/>
              <w:bottom w:val="single" w:color="auto" w:sz="4" w:space="0"/>
              <w:right w:val="single" w:color="auto" w:sz="4" w:space="0"/>
            </w:tcBorders>
            <w:noWrap/>
            <w:vAlign w:val="center"/>
          </w:tcPr>
          <w:p>
            <w:pPr>
              <w:pStyle w:val="66"/>
            </w:pPr>
            <w:r>
              <w:t>面积（hm²）</w:t>
            </w:r>
          </w:p>
        </w:tc>
        <w:tc>
          <w:tcPr>
            <w:tcW w:w="1504" w:type="dxa"/>
            <w:vMerge w:val="restart"/>
            <w:tcBorders>
              <w:top w:val="single" w:color="auto" w:sz="4" w:space="0"/>
              <w:left w:val="single" w:color="auto" w:sz="4" w:space="0"/>
              <w:bottom w:val="single" w:color="000000" w:sz="4" w:space="0"/>
              <w:right w:val="single" w:color="auto" w:sz="4" w:space="0"/>
            </w:tcBorders>
            <w:noWrap/>
            <w:vAlign w:val="center"/>
          </w:tcPr>
          <w:p>
            <w:pPr>
              <w:pStyle w:val="66"/>
            </w:pPr>
            <w:r>
              <w:t>主要措施</w:t>
            </w:r>
          </w:p>
        </w:tc>
      </w:tr>
      <w:tr>
        <w:tblPrEx>
          <w:tblLayout w:type="fixed"/>
          <w:tblCellMar>
            <w:top w:w="0" w:type="dxa"/>
            <w:left w:w="108" w:type="dxa"/>
            <w:bottom w:w="0" w:type="dxa"/>
            <w:right w:w="108" w:type="dxa"/>
          </w:tblCellMar>
        </w:tblPrEx>
        <w:trPr>
          <w:trHeight w:val="312" w:hRule="atLeast"/>
        </w:trPr>
        <w:tc>
          <w:tcPr>
            <w:tcW w:w="1418" w:type="dxa"/>
            <w:vMerge w:val="continue"/>
            <w:tcBorders>
              <w:top w:val="single" w:color="auto" w:sz="4" w:space="0"/>
              <w:left w:val="single" w:color="auto" w:sz="4" w:space="0"/>
              <w:bottom w:val="single" w:color="auto" w:sz="4" w:space="0"/>
              <w:right w:val="single" w:color="auto" w:sz="4" w:space="0"/>
            </w:tcBorders>
            <w:vAlign w:val="center"/>
          </w:tcPr>
          <w:p>
            <w:pPr>
              <w:pStyle w:val="66"/>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pPr>
              <w:pStyle w:val="66"/>
            </w:pPr>
          </w:p>
        </w:tc>
        <w:tc>
          <w:tcPr>
            <w:tcW w:w="1416" w:type="dxa"/>
            <w:vMerge w:val="continue"/>
            <w:tcBorders>
              <w:top w:val="single" w:color="auto" w:sz="4" w:space="0"/>
              <w:left w:val="single" w:color="auto" w:sz="4" w:space="0"/>
              <w:bottom w:val="single" w:color="auto" w:sz="4" w:space="0"/>
              <w:right w:val="single" w:color="auto" w:sz="4" w:space="0"/>
            </w:tcBorders>
            <w:vAlign w:val="center"/>
          </w:tcPr>
          <w:p>
            <w:pPr>
              <w:pStyle w:val="66"/>
            </w:pPr>
          </w:p>
        </w:tc>
        <w:tc>
          <w:tcPr>
            <w:tcW w:w="1278" w:type="dxa"/>
            <w:vMerge w:val="continue"/>
            <w:tcBorders>
              <w:top w:val="single" w:color="auto" w:sz="4" w:space="0"/>
              <w:left w:val="single" w:color="auto" w:sz="4" w:space="0"/>
              <w:bottom w:val="single" w:color="000000" w:sz="4" w:space="0"/>
              <w:right w:val="single" w:color="auto" w:sz="4" w:space="0"/>
            </w:tcBorders>
            <w:vAlign w:val="center"/>
          </w:tcPr>
          <w:p>
            <w:pPr>
              <w:pStyle w:val="66"/>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pStyle w:val="66"/>
            </w:pPr>
          </w:p>
        </w:tc>
        <w:tc>
          <w:tcPr>
            <w:tcW w:w="1504" w:type="dxa"/>
            <w:vMerge w:val="continue"/>
            <w:tcBorders>
              <w:top w:val="single" w:color="auto" w:sz="4" w:space="0"/>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restart"/>
            <w:tcBorders>
              <w:top w:val="nil"/>
              <w:left w:val="single" w:color="auto" w:sz="4" w:space="0"/>
              <w:bottom w:val="single" w:color="auto" w:sz="4" w:space="0"/>
              <w:right w:val="single" w:color="auto" w:sz="4" w:space="0"/>
            </w:tcBorders>
            <w:noWrap/>
            <w:vAlign w:val="center"/>
          </w:tcPr>
          <w:p>
            <w:pPr>
              <w:pStyle w:val="66"/>
            </w:pPr>
            <w:r>
              <w:t>材料堆场</w:t>
            </w: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0.0360</w:t>
            </w:r>
          </w:p>
        </w:tc>
        <w:tc>
          <w:tcPr>
            <w:tcW w:w="1504" w:type="dxa"/>
            <w:vMerge w:val="restart"/>
            <w:tcBorders>
              <w:top w:val="nil"/>
              <w:left w:val="single" w:color="auto" w:sz="4" w:space="0"/>
              <w:bottom w:val="single" w:color="000000" w:sz="4" w:space="0"/>
              <w:right w:val="single" w:color="auto" w:sz="4" w:space="0"/>
            </w:tcBorders>
            <w:vAlign w:val="center"/>
          </w:tcPr>
          <w:p>
            <w:pPr>
              <w:pStyle w:val="66"/>
            </w:pPr>
            <w:r>
              <w:t>表土剥离、土壤培肥、土地平整、表土回覆、植被恢复</w:t>
            </w: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其他草地</w:t>
            </w:r>
          </w:p>
        </w:tc>
        <w:tc>
          <w:tcPr>
            <w:tcW w:w="1278" w:type="dxa"/>
            <w:tcBorders>
              <w:top w:val="nil"/>
              <w:left w:val="nil"/>
              <w:bottom w:val="single" w:color="auto" w:sz="4" w:space="0"/>
              <w:right w:val="single" w:color="auto" w:sz="4" w:space="0"/>
            </w:tcBorders>
            <w:noWrap/>
            <w:vAlign w:val="center"/>
          </w:tcPr>
          <w:p>
            <w:pPr>
              <w:pStyle w:val="66"/>
            </w:pPr>
            <w:r>
              <w:t>其他草地</w:t>
            </w:r>
          </w:p>
        </w:tc>
        <w:tc>
          <w:tcPr>
            <w:tcW w:w="1418" w:type="dxa"/>
            <w:tcBorders>
              <w:top w:val="nil"/>
              <w:left w:val="nil"/>
              <w:bottom w:val="single" w:color="auto" w:sz="4" w:space="0"/>
              <w:right w:val="single" w:color="auto" w:sz="4" w:space="0"/>
            </w:tcBorders>
            <w:noWrap/>
            <w:vAlign w:val="center"/>
          </w:tcPr>
          <w:p>
            <w:pPr>
              <w:pStyle w:val="66"/>
            </w:pPr>
            <w:r>
              <w:t>0.0137</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0.2885</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后备耕地</w:t>
            </w:r>
          </w:p>
        </w:tc>
        <w:tc>
          <w:tcPr>
            <w:tcW w:w="1278" w:type="dxa"/>
            <w:tcBorders>
              <w:top w:val="nil"/>
              <w:left w:val="nil"/>
              <w:bottom w:val="single" w:color="auto" w:sz="4" w:space="0"/>
              <w:right w:val="single" w:color="auto" w:sz="4" w:space="0"/>
            </w:tcBorders>
            <w:noWrap/>
            <w:vAlign w:val="center"/>
          </w:tcPr>
          <w:p>
            <w:pPr>
              <w:pStyle w:val="66"/>
            </w:pPr>
            <w:r>
              <w:t>后备耕地</w:t>
            </w:r>
          </w:p>
        </w:tc>
        <w:tc>
          <w:tcPr>
            <w:tcW w:w="1418" w:type="dxa"/>
            <w:tcBorders>
              <w:top w:val="nil"/>
              <w:left w:val="nil"/>
              <w:bottom w:val="single" w:color="auto" w:sz="4" w:space="0"/>
              <w:right w:val="single" w:color="auto" w:sz="4" w:space="0"/>
            </w:tcBorders>
            <w:noWrap/>
            <w:vAlign w:val="center"/>
          </w:tcPr>
          <w:p>
            <w:pPr>
              <w:pStyle w:val="66"/>
            </w:pPr>
            <w:r>
              <w:t>0.3808</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restart"/>
            <w:tcBorders>
              <w:top w:val="nil"/>
              <w:left w:val="single" w:color="auto" w:sz="4" w:space="0"/>
              <w:bottom w:val="single" w:color="auto" w:sz="4" w:space="0"/>
              <w:right w:val="single" w:color="auto" w:sz="4" w:space="0"/>
            </w:tcBorders>
            <w:noWrap/>
            <w:vAlign w:val="center"/>
          </w:tcPr>
          <w:p>
            <w:pPr>
              <w:pStyle w:val="66"/>
            </w:pPr>
            <w:r>
              <w:t>地下管线敷设作业（施工基坑）</w:t>
            </w: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1.4564</w:t>
            </w:r>
          </w:p>
        </w:tc>
        <w:tc>
          <w:tcPr>
            <w:tcW w:w="1504" w:type="dxa"/>
            <w:vMerge w:val="restart"/>
            <w:tcBorders>
              <w:top w:val="nil"/>
              <w:left w:val="single" w:color="auto" w:sz="4" w:space="0"/>
              <w:bottom w:val="single" w:color="000000" w:sz="4" w:space="0"/>
              <w:right w:val="single" w:color="auto" w:sz="4" w:space="0"/>
            </w:tcBorders>
            <w:vAlign w:val="center"/>
          </w:tcPr>
          <w:p>
            <w:pPr>
              <w:pStyle w:val="66"/>
            </w:pPr>
            <w:r>
              <w:t>表土剥离、砂砾石拆除、垃圾清运、土层回填、土地平整、表土回覆、土壤培肥、植被恢复</w:t>
            </w: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农村道路</w:t>
            </w:r>
          </w:p>
        </w:tc>
        <w:tc>
          <w:tcPr>
            <w:tcW w:w="1278" w:type="dxa"/>
            <w:tcBorders>
              <w:top w:val="nil"/>
              <w:left w:val="nil"/>
              <w:bottom w:val="single" w:color="auto" w:sz="4" w:space="0"/>
              <w:right w:val="single" w:color="auto" w:sz="4" w:space="0"/>
            </w:tcBorders>
            <w:noWrap/>
            <w:vAlign w:val="center"/>
          </w:tcPr>
          <w:p>
            <w:pPr>
              <w:pStyle w:val="66"/>
            </w:pPr>
            <w:r>
              <w:t>农村道路</w:t>
            </w:r>
          </w:p>
        </w:tc>
        <w:tc>
          <w:tcPr>
            <w:tcW w:w="1418" w:type="dxa"/>
            <w:tcBorders>
              <w:top w:val="nil"/>
              <w:left w:val="nil"/>
              <w:bottom w:val="single" w:color="auto" w:sz="4" w:space="0"/>
              <w:right w:val="single" w:color="auto" w:sz="4" w:space="0"/>
            </w:tcBorders>
            <w:noWrap/>
            <w:vAlign w:val="center"/>
          </w:tcPr>
          <w:p>
            <w:pPr>
              <w:pStyle w:val="66"/>
            </w:pPr>
            <w:r>
              <w:t>0.0036</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1.2298</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0.5505</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农村道路</w:t>
            </w:r>
          </w:p>
        </w:tc>
        <w:tc>
          <w:tcPr>
            <w:tcW w:w="1278" w:type="dxa"/>
            <w:tcBorders>
              <w:top w:val="nil"/>
              <w:left w:val="nil"/>
              <w:bottom w:val="single" w:color="auto" w:sz="4" w:space="0"/>
              <w:right w:val="single" w:color="auto" w:sz="4" w:space="0"/>
            </w:tcBorders>
            <w:noWrap/>
            <w:vAlign w:val="center"/>
          </w:tcPr>
          <w:p>
            <w:pPr>
              <w:pStyle w:val="66"/>
            </w:pPr>
            <w:r>
              <w:t>农村道路</w:t>
            </w:r>
          </w:p>
        </w:tc>
        <w:tc>
          <w:tcPr>
            <w:tcW w:w="1418" w:type="dxa"/>
            <w:tcBorders>
              <w:top w:val="nil"/>
              <w:left w:val="nil"/>
              <w:bottom w:val="single" w:color="auto" w:sz="4" w:space="0"/>
              <w:right w:val="single" w:color="auto" w:sz="4" w:space="0"/>
            </w:tcBorders>
            <w:noWrap/>
            <w:vAlign w:val="center"/>
          </w:tcPr>
          <w:p>
            <w:pPr>
              <w:pStyle w:val="66"/>
            </w:pPr>
            <w:r>
              <w:t>0.0043</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0.0317</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restart"/>
            <w:tcBorders>
              <w:top w:val="nil"/>
              <w:left w:val="single" w:color="auto" w:sz="4" w:space="0"/>
              <w:bottom w:val="single" w:color="auto" w:sz="4" w:space="0"/>
              <w:right w:val="single" w:color="auto" w:sz="4" w:space="0"/>
            </w:tcBorders>
            <w:noWrap/>
            <w:vAlign w:val="center"/>
          </w:tcPr>
          <w:p>
            <w:pPr>
              <w:pStyle w:val="66"/>
            </w:pPr>
            <w:r>
              <w:t>材料堆场（临时围堰）</w:t>
            </w: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1.6785</w:t>
            </w:r>
          </w:p>
        </w:tc>
        <w:tc>
          <w:tcPr>
            <w:tcW w:w="1504" w:type="dxa"/>
            <w:vMerge w:val="restart"/>
            <w:tcBorders>
              <w:top w:val="nil"/>
              <w:left w:val="single" w:color="auto" w:sz="4" w:space="0"/>
              <w:bottom w:val="single" w:color="000000" w:sz="4" w:space="0"/>
              <w:right w:val="single" w:color="auto" w:sz="4" w:space="0"/>
            </w:tcBorders>
            <w:vAlign w:val="center"/>
          </w:tcPr>
          <w:p>
            <w:pPr>
              <w:pStyle w:val="66"/>
            </w:pPr>
            <w:r>
              <w:t>表土剥离、土地平整、土壤培肥、表土回覆、植被恢复</w:t>
            </w: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0.4389</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0.4435</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其他草地</w:t>
            </w:r>
          </w:p>
        </w:tc>
        <w:tc>
          <w:tcPr>
            <w:tcW w:w="1278" w:type="dxa"/>
            <w:tcBorders>
              <w:top w:val="nil"/>
              <w:left w:val="nil"/>
              <w:bottom w:val="single" w:color="auto" w:sz="4" w:space="0"/>
              <w:right w:val="single" w:color="auto" w:sz="4" w:space="0"/>
            </w:tcBorders>
            <w:noWrap/>
            <w:vAlign w:val="center"/>
          </w:tcPr>
          <w:p>
            <w:pPr>
              <w:pStyle w:val="66"/>
            </w:pPr>
            <w:r>
              <w:t>其他草地</w:t>
            </w:r>
          </w:p>
        </w:tc>
        <w:tc>
          <w:tcPr>
            <w:tcW w:w="1418" w:type="dxa"/>
            <w:tcBorders>
              <w:top w:val="nil"/>
              <w:left w:val="nil"/>
              <w:bottom w:val="single" w:color="auto" w:sz="4" w:space="0"/>
              <w:right w:val="single" w:color="auto" w:sz="4" w:space="0"/>
            </w:tcBorders>
            <w:noWrap/>
            <w:vAlign w:val="center"/>
          </w:tcPr>
          <w:p>
            <w:pPr>
              <w:pStyle w:val="66"/>
            </w:pPr>
            <w:r>
              <w:t>0.0002</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0.0401</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后备耕地</w:t>
            </w:r>
          </w:p>
        </w:tc>
        <w:tc>
          <w:tcPr>
            <w:tcW w:w="1278" w:type="dxa"/>
            <w:tcBorders>
              <w:top w:val="nil"/>
              <w:left w:val="nil"/>
              <w:bottom w:val="single" w:color="auto" w:sz="4" w:space="0"/>
              <w:right w:val="single" w:color="auto" w:sz="4" w:space="0"/>
            </w:tcBorders>
            <w:noWrap/>
            <w:vAlign w:val="center"/>
          </w:tcPr>
          <w:p>
            <w:pPr>
              <w:pStyle w:val="66"/>
            </w:pPr>
            <w:r>
              <w:t>后备耕地</w:t>
            </w:r>
          </w:p>
        </w:tc>
        <w:tc>
          <w:tcPr>
            <w:tcW w:w="1418" w:type="dxa"/>
            <w:tcBorders>
              <w:top w:val="nil"/>
              <w:left w:val="nil"/>
              <w:bottom w:val="single" w:color="auto" w:sz="4" w:space="0"/>
              <w:right w:val="single" w:color="auto" w:sz="4" w:space="0"/>
            </w:tcBorders>
            <w:noWrap/>
            <w:vAlign w:val="center"/>
          </w:tcPr>
          <w:p>
            <w:pPr>
              <w:pStyle w:val="66"/>
            </w:pPr>
            <w:r>
              <w:t>0.0016</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restart"/>
            <w:tcBorders>
              <w:top w:val="nil"/>
              <w:left w:val="single" w:color="auto" w:sz="4" w:space="0"/>
              <w:bottom w:val="single" w:color="auto" w:sz="4" w:space="0"/>
              <w:right w:val="single" w:color="auto" w:sz="4" w:space="0"/>
            </w:tcBorders>
            <w:noWrap/>
            <w:vAlign w:val="center"/>
          </w:tcPr>
          <w:p>
            <w:pPr>
              <w:pStyle w:val="66"/>
            </w:pPr>
            <w:r>
              <w:t>施工便道</w:t>
            </w: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灌木林地</w:t>
            </w:r>
          </w:p>
        </w:tc>
        <w:tc>
          <w:tcPr>
            <w:tcW w:w="1278" w:type="dxa"/>
            <w:tcBorders>
              <w:top w:val="nil"/>
              <w:left w:val="nil"/>
              <w:bottom w:val="single" w:color="auto" w:sz="4" w:space="0"/>
              <w:right w:val="single" w:color="auto" w:sz="4" w:space="0"/>
            </w:tcBorders>
            <w:noWrap/>
            <w:vAlign w:val="center"/>
          </w:tcPr>
          <w:p>
            <w:pPr>
              <w:pStyle w:val="66"/>
            </w:pPr>
            <w:r>
              <w:t>灌木林地</w:t>
            </w:r>
          </w:p>
        </w:tc>
        <w:tc>
          <w:tcPr>
            <w:tcW w:w="1418" w:type="dxa"/>
            <w:tcBorders>
              <w:top w:val="nil"/>
              <w:left w:val="nil"/>
              <w:bottom w:val="single" w:color="auto" w:sz="4" w:space="0"/>
              <w:right w:val="single" w:color="auto" w:sz="4" w:space="0"/>
            </w:tcBorders>
            <w:noWrap/>
            <w:vAlign w:val="center"/>
          </w:tcPr>
          <w:p>
            <w:pPr>
              <w:pStyle w:val="66"/>
            </w:pPr>
            <w:r>
              <w:t>0.0983</w:t>
            </w:r>
          </w:p>
        </w:tc>
        <w:tc>
          <w:tcPr>
            <w:tcW w:w="1504" w:type="dxa"/>
            <w:vMerge w:val="restart"/>
            <w:tcBorders>
              <w:top w:val="nil"/>
              <w:left w:val="single" w:color="auto" w:sz="4" w:space="0"/>
              <w:bottom w:val="single" w:color="000000" w:sz="4" w:space="0"/>
              <w:right w:val="single" w:color="auto" w:sz="4" w:space="0"/>
            </w:tcBorders>
            <w:vAlign w:val="center"/>
          </w:tcPr>
          <w:p>
            <w:pPr>
              <w:pStyle w:val="66"/>
            </w:pPr>
            <w:r>
              <w:t>表土剥离、砂砾石拆除、垃圾清运、土壤培肥、土地平整、表土回覆、植被恢复</w:t>
            </w: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农村道路</w:t>
            </w:r>
          </w:p>
        </w:tc>
        <w:tc>
          <w:tcPr>
            <w:tcW w:w="1278" w:type="dxa"/>
            <w:tcBorders>
              <w:top w:val="nil"/>
              <w:left w:val="nil"/>
              <w:bottom w:val="single" w:color="auto" w:sz="4" w:space="0"/>
              <w:right w:val="single" w:color="auto" w:sz="4" w:space="0"/>
            </w:tcBorders>
            <w:noWrap/>
            <w:vAlign w:val="center"/>
          </w:tcPr>
          <w:p>
            <w:pPr>
              <w:pStyle w:val="66"/>
            </w:pPr>
            <w:r>
              <w:t>农村道路</w:t>
            </w:r>
          </w:p>
        </w:tc>
        <w:tc>
          <w:tcPr>
            <w:tcW w:w="1418" w:type="dxa"/>
            <w:tcBorders>
              <w:top w:val="nil"/>
              <w:left w:val="nil"/>
              <w:bottom w:val="single" w:color="auto" w:sz="4" w:space="0"/>
              <w:right w:val="single" w:color="auto" w:sz="4" w:space="0"/>
            </w:tcBorders>
            <w:noWrap/>
            <w:vAlign w:val="center"/>
          </w:tcPr>
          <w:p>
            <w:pPr>
              <w:pStyle w:val="66"/>
            </w:pPr>
            <w:r>
              <w:t>0.7688</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西克尔村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0.5738</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农村道路</w:t>
            </w:r>
          </w:p>
        </w:tc>
        <w:tc>
          <w:tcPr>
            <w:tcW w:w="1278" w:type="dxa"/>
            <w:tcBorders>
              <w:top w:val="nil"/>
              <w:left w:val="nil"/>
              <w:bottom w:val="single" w:color="auto" w:sz="4" w:space="0"/>
              <w:right w:val="single" w:color="auto" w:sz="4" w:space="0"/>
            </w:tcBorders>
            <w:noWrap/>
            <w:vAlign w:val="center"/>
          </w:tcPr>
          <w:p>
            <w:pPr>
              <w:pStyle w:val="66"/>
            </w:pPr>
            <w:r>
              <w:t>农村道路</w:t>
            </w:r>
          </w:p>
        </w:tc>
        <w:tc>
          <w:tcPr>
            <w:tcW w:w="1418" w:type="dxa"/>
            <w:tcBorders>
              <w:top w:val="nil"/>
              <w:left w:val="nil"/>
              <w:bottom w:val="single" w:color="auto" w:sz="4" w:space="0"/>
              <w:right w:val="single" w:color="auto" w:sz="4" w:space="0"/>
            </w:tcBorders>
            <w:noWrap/>
            <w:vAlign w:val="center"/>
          </w:tcPr>
          <w:p>
            <w:pPr>
              <w:pStyle w:val="66"/>
            </w:pPr>
            <w:r>
              <w:t>0.0914</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沟渠</w:t>
            </w:r>
          </w:p>
        </w:tc>
        <w:tc>
          <w:tcPr>
            <w:tcW w:w="1278" w:type="dxa"/>
            <w:tcBorders>
              <w:top w:val="nil"/>
              <w:left w:val="nil"/>
              <w:bottom w:val="single" w:color="auto" w:sz="4" w:space="0"/>
              <w:right w:val="single" w:color="auto" w:sz="4" w:space="0"/>
            </w:tcBorders>
            <w:noWrap/>
            <w:vAlign w:val="center"/>
          </w:tcPr>
          <w:p>
            <w:pPr>
              <w:pStyle w:val="66"/>
            </w:pPr>
            <w:r>
              <w:t>沟渠</w:t>
            </w:r>
          </w:p>
        </w:tc>
        <w:tc>
          <w:tcPr>
            <w:tcW w:w="1418" w:type="dxa"/>
            <w:tcBorders>
              <w:top w:val="nil"/>
              <w:left w:val="nil"/>
              <w:bottom w:val="single" w:color="auto" w:sz="4" w:space="0"/>
              <w:right w:val="single" w:color="auto" w:sz="4" w:space="0"/>
            </w:tcBorders>
            <w:noWrap/>
            <w:vAlign w:val="center"/>
          </w:tcPr>
          <w:p>
            <w:pPr>
              <w:pStyle w:val="66"/>
            </w:pPr>
            <w:r>
              <w:t>0.1481</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1418" w:type="dxa"/>
            <w:vMerge w:val="continue"/>
            <w:tcBorders>
              <w:top w:val="nil"/>
              <w:left w:val="single" w:color="auto" w:sz="4" w:space="0"/>
              <w:bottom w:val="single" w:color="auto" w:sz="4" w:space="0"/>
              <w:right w:val="single" w:color="auto" w:sz="4" w:space="0"/>
            </w:tcBorders>
            <w:vAlign w:val="center"/>
          </w:tcPr>
          <w:p>
            <w:pPr>
              <w:pStyle w:val="66"/>
            </w:pPr>
          </w:p>
        </w:tc>
        <w:tc>
          <w:tcPr>
            <w:tcW w:w="1276" w:type="dxa"/>
            <w:tcBorders>
              <w:top w:val="nil"/>
              <w:left w:val="nil"/>
              <w:bottom w:val="single" w:color="auto" w:sz="4" w:space="0"/>
              <w:right w:val="single" w:color="auto" w:sz="4" w:space="0"/>
            </w:tcBorders>
            <w:noWrap/>
            <w:vAlign w:val="center"/>
          </w:tcPr>
          <w:p>
            <w:pPr>
              <w:pStyle w:val="66"/>
            </w:pPr>
            <w:r>
              <w:t>库木库坦村</w:t>
            </w:r>
          </w:p>
        </w:tc>
        <w:tc>
          <w:tcPr>
            <w:tcW w:w="1416" w:type="dxa"/>
            <w:tcBorders>
              <w:top w:val="nil"/>
              <w:left w:val="nil"/>
              <w:bottom w:val="single" w:color="auto" w:sz="4" w:space="0"/>
              <w:right w:val="single" w:color="auto" w:sz="4" w:space="0"/>
            </w:tcBorders>
            <w:noWrap/>
            <w:vAlign w:val="center"/>
          </w:tcPr>
          <w:p>
            <w:pPr>
              <w:pStyle w:val="66"/>
            </w:pPr>
            <w:r>
              <w:t>后备耕地</w:t>
            </w:r>
          </w:p>
        </w:tc>
        <w:tc>
          <w:tcPr>
            <w:tcW w:w="1278" w:type="dxa"/>
            <w:tcBorders>
              <w:top w:val="nil"/>
              <w:left w:val="nil"/>
              <w:bottom w:val="single" w:color="auto" w:sz="4" w:space="0"/>
              <w:right w:val="single" w:color="auto" w:sz="4" w:space="0"/>
            </w:tcBorders>
            <w:noWrap/>
            <w:vAlign w:val="center"/>
          </w:tcPr>
          <w:p>
            <w:pPr>
              <w:pStyle w:val="66"/>
            </w:pPr>
            <w:r>
              <w:t>后备耕地</w:t>
            </w:r>
          </w:p>
        </w:tc>
        <w:tc>
          <w:tcPr>
            <w:tcW w:w="1418" w:type="dxa"/>
            <w:tcBorders>
              <w:top w:val="nil"/>
              <w:left w:val="nil"/>
              <w:bottom w:val="single" w:color="auto" w:sz="4" w:space="0"/>
              <w:right w:val="single" w:color="auto" w:sz="4" w:space="0"/>
            </w:tcBorders>
            <w:noWrap/>
            <w:vAlign w:val="center"/>
          </w:tcPr>
          <w:p>
            <w:pPr>
              <w:pStyle w:val="66"/>
            </w:pPr>
            <w:r>
              <w:t>0.0004</w:t>
            </w:r>
          </w:p>
        </w:tc>
        <w:tc>
          <w:tcPr>
            <w:tcW w:w="1504" w:type="dxa"/>
            <w:vMerge w:val="continue"/>
            <w:tcBorders>
              <w:top w:val="nil"/>
              <w:left w:val="single" w:color="auto" w:sz="4" w:space="0"/>
              <w:bottom w:val="single" w:color="000000" w:sz="4" w:space="0"/>
              <w:right w:val="single" w:color="auto" w:sz="4" w:space="0"/>
            </w:tcBorders>
            <w:vAlign w:val="center"/>
          </w:tcPr>
          <w:p>
            <w:pPr>
              <w:pStyle w:val="66"/>
            </w:pPr>
          </w:p>
        </w:tc>
      </w:tr>
      <w:tr>
        <w:tblPrEx>
          <w:tblLayout w:type="fixed"/>
          <w:tblCellMar>
            <w:top w:w="0" w:type="dxa"/>
            <w:left w:w="108" w:type="dxa"/>
            <w:bottom w:w="0" w:type="dxa"/>
            <w:right w:w="108" w:type="dxa"/>
          </w:tblCellMar>
        </w:tblPrEx>
        <w:trPr>
          <w:trHeight w:val="288" w:hRule="atLeast"/>
        </w:trPr>
        <w:tc>
          <w:tcPr>
            <w:tcW w:w="5388" w:type="dxa"/>
            <w:gridSpan w:val="4"/>
            <w:tcBorders>
              <w:top w:val="single" w:color="auto" w:sz="4" w:space="0"/>
              <w:left w:val="single" w:color="auto" w:sz="4" w:space="0"/>
              <w:bottom w:val="single" w:color="auto" w:sz="4" w:space="0"/>
              <w:right w:val="single" w:color="auto" w:sz="4" w:space="0"/>
            </w:tcBorders>
            <w:noWrap/>
            <w:vAlign w:val="center"/>
          </w:tcPr>
          <w:p>
            <w:pPr>
              <w:pStyle w:val="66"/>
            </w:pPr>
            <w:r>
              <w:t>合计</w:t>
            </w:r>
          </w:p>
        </w:tc>
        <w:tc>
          <w:tcPr>
            <w:tcW w:w="1418" w:type="dxa"/>
            <w:tcBorders>
              <w:top w:val="nil"/>
              <w:left w:val="nil"/>
              <w:bottom w:val="single" w:color="auto" w:sz="4" w:space="0"/>
              <w:right w:val="single" w:color="auto" w:sz="4" w:space="0"/>
            </w:tcBorders>
            <w:noWrap/>
            <w:vAlign w:val="center"/>
          </w:tcPr>
          <w:p>
            <w:pPr>
              <w:pStyle w:val="66"/>
            </w:pPr>
            <w:r>
              <w:t>8.2789</w:t>
            </w:r>
          </w:p>
        </w:tc>
        <w:tc>
          <w:tcPr>
            <w:tcW w:w="1504" w:type="dxa"/>
            <w:tcBorders>
              <w:top w:val="nil"/>
              <w:left w:val="nil"/>
              <w:bottom w:val="single" w:color="auto" w:sz="4" w:space="0"/>
              <w:right w:val="single" w:color="auto" w:sz="4" w:space="0"/>
            </w:tcBorders>
            <w:noWrap/>
            <w:vAlign w:val="center"/>
          </w:tcPr>
          <w:p>
            <w:pPr>
              <w:pStyle w:val="66"/>
            </w:pPr>
            <w:r>
              <w:t>　</w:t>
            </w:r>
          </w:p>
        </w:tc>
      </w:tr>
    </w:tbl>
    <w:p>
      <w:pPr>
        <w:pStyle w:val="51"/>
      </w:pPr>
      <w:bookmarkStart w:id="49" w:name="_Toc236071683"/>
      <w:bookmarkStart w:id="50" w:name="_Toc236071653"/>
      <w:r>
        <w:rPr>
          <w:rFonts w:hint="eastAsia"/>
        </w:rPr>
        <w:t>六</w:t>
      </w:r>
      <w:r>
        <w:t>、</w:t>
      </w:r>
      <w:r>
        <w:rPr>
          <w:rFonts w:hint="eastAsia"/>
        </w:rPr>
        <w:t>水土资源平衡分析</w:t>
      </w:r>
      <w:bookmarkEnd w:id="49"/>
      <w:bookmarkEnd w:id="50"/>
    </w:p>
    <w:p>
      <w:pPr>
        <w:pStyle w:val="52"/>
      </w:pPr>
      <w:bookmarkStart w:id="51" w:name="_Toc236071654"/>
      <w:r>
        <w:t>（一）表土资源平衡分析</w:t>
      </w:r>
      <w:bookmarkEnd w:id="51"/>
    </w:p>
    <w:p>
      <w:pPr>
        <w:pStyle w:val="59"/>
        <w:ind w:firstLine="480"/>
      </w:pPr>
      <w:r>
        <w:rPr>
          <w:rFonts w:hint="eastAsia"/>
        </w:rPr>
        <w:t>根据上述章节的土地损毁分析和土地复垦可行性分析，从工程措施可行性和经济可行性方面来讲，本项目损毁土地设计采取土地平整、土壤培肥、表土回覆、植被重建等措施复垦即可，覆土土源为损毁前剥离的表土；覆土厚度根据复垦质量标准确定。根据沿线植被类型分布、土壤类型、气候条件、地形地貌等因素综合分析，本项目拟复垦的灌木林地、其他草地、后备耕地的覆土厚度均为30cm。依据上述覆土厚度需求，本项目损毁土地表土需求量为13979.7m</w:t>
      </w:r>
      <w:r>
        <w:rPr>
          <w:rFonts w:hint="eastAsia"/>
          <w:vertAlign w:val="superscript"/>
        </w:rPr>
        <w:t>3</w:t>
      </w:r>
      <w:r>
        <w:rPr>
          <w:rFonts w:hint="eastAsia"/>
        </w:rPr>
        <w:t>。</w:t>
      </w:r>
    </w:p>
    <w:p>
      <w:pPr>
        <w:pStyle w:val="59"/>
        <w:ind w:firstLine="480"/>
      </w:pPr>
      <w:r>
        <w:rPr>
          <w:rFonts w:hint="eastAsia"/>
        </w:rPr>
        <w:t>本项目复垦工程实施表土回覆的来源主要为项目临时用地对占用灌木林地、其他草地和后备耕地损毁前剥离的表土。本项目管线途经区域占用部分灌木林地、其他草地和后备耕地，其表层耕作层土壤腐殖质含量较高、土壤肥力、质地和土壤结构较好，该腐殖层土壤非常适宜植被生长，是十分珍贵的绿化与复垦种植用土。为保护好珍贵的表土资源，并减少工程建设产生的取土量和弃土弃渣量，根据实地调查，本项目拟占用的灌木林地、其他草地、后备耕地面积共计4.6599hm</w:t>
      </w:r>
      <w:r>
        <w:rPr>
          <w:rFonts w:hint="eastAsia"/>
          <w:vertAlign w:val="superscript"/>
        </w:rPr>
        <w:t>2</w:t>
      </w:r>
      <w:r>
        <w:rPr>
          <w:rFonts w:hint="eastAsia"/>
        </w:rPr>
        <w:t>，其土壤类型主要为风沙土，表土层厚度为25~35cm左右，平均可剥离土层厚度约为30cm。</w:t>
      </w:r>
    </w:p>
    <w:p>
      <w:pPr>
        <w:pStyle w:val="59"/>
        <w:ind w:firstLine="480"/>
      </w:pPr>
      <w:r>
        <w:rPr>
          <w:rFonts w:hint="eastAsia"/>
        </w:rPr>
        <w:t>综上所述本项目表土总供给量13979.7m</w:t>
      </w:r>
      <w:r>
        <w:rPr>
          <w:rFonts w:hint="eastAsia"/>
          <w:vertAlign w:val="superscript"/>
        </w:rPr>
        <w:t>3</w:t>
      </w:r>
      <w:r>
        <w:rPr>
          <w:rFonts w:hint="eastAsia"/>
        </w:rPr>
        <w:t>，通过对表土需求及供给分析可知，表土供给量等于表土需求量（13979.7m</w:t>
      </w:r>
      <w:r>
        <w:rPr>
          <w:rFonts w:hint="eastAsia"/>
          <w:vertAlign w:val="superscript"/>
        </w:rPr>
        <w:t>3</w:t>
      </w:r>
      <w:r>
        <w:rPr>
          <w:rFonts w:hint="eastAsia"/>
        </w:rPr>
        <w:t>），基本可满足复垦的表土需求。实际施工时，若表土供给量无法满足其需求量，可在当地购买客土，予以平衡。</w:t>
      </w:r>
    </w:p>
    <w:p>
      <w:pPr>
        <w:pStyle w:val="52"/>
      </w:pPr>
      <w:bookmarkStart w:id="52" w:name="_Toc236071655"/>
      <w:r>
        <w:t>（二）</w:t>
      </w:r>
      <w:r>
        <w:rPr>
          <w:rFonts w:hint="eastAsia"/>
        </w:rPr>
        <w:t>水资源平衡分析</w:t>
      </w:r>
      <w:bookmarkEnd w:id="52"/>
    </w:p>
    <w:p>
      <w:pPr>
        <w:adjustRightInd w:val="0"/>
        <w:snapToGrid w:val="0"/>
        <w:spacing w:after="0" w:line="360" w:lineRule="auto"/>
        <w:ind w:firstLine="480" w:firstLineChars="200"/>
        <w:jc w:val="both"/>
        <w:rPr>
          <w:rFonts w:ascii="Times New Roman" w:hAnsi="Times New Roman" w:eastAsia="仿宋"/>
          <w:color w:val="000000" w:themeColor="text1"/>
          <w:sz w:val="24"/>
          <w:szCs w:val="24"/>
          <w:u w:color="000000" w:themeColor="text1"/>
          <w:lang w:eastAsia="zh-CN"/>
          <w14:textFill>
            <w14:solidFill>
              <w14:schemeClr w14:val="tx1"/>
            </w14:solidFill>
          </w14:textFill>
        </w:rPr>
      </w:pPr>
      <w:r>
        <w:rPr>
          <w:rFonts w:ascii="Times New Roman" w:hAnsi="Times New Roman" w:eastAsia="仿宋"/>
          <w:color w:val="000000" w:themeColor="text1"/>
          <w:sz w:val="24"/>
          <w:szCs w:val="24"/>
          <w:u w:color="000000" w:themeColor="text1"/>
          <w:lang w:eastAsia="zh-CN"/>
          <w14:textFill>
            <w14:solidFill>
              <w14:schemeClr w14:val="tx1"/>
            </w14:solidFill>
          </w14:textFill>
        </w:rPr>
        <w:t>项目区气候属温带大陆性干旱气候，全年降水极少，蒸发强烈，因此管护期内自然降水灌溉不予考虑，灌溉主要依靠人工灌溉方式进行。人工灌溉主要采用洒水车拉运洒水方式进行，结合项目区光热条件及植物的生长周期等，在管护期内合理确定人工灌溉次数。根据《土地开发整理项目预算定额标准》（2012年）和《新疆农业灌溉用水定额指标》（2011年5月）中的相关灌溉指标参数和计算办法，按照干旱、半干旱荒漠区灌溉用水定额，结合当地保证</w:t>
      </w:r>
      <w:r>
        <w:rPr>
          <w:rFonts w:hint="eastAsia" w:ascii="Times New Roman" w:hAnsi="Times New Roman" w:eastAsia="仿宋"/>
          <w:color w:val="000000" w:themeColor="text1"/>
          <w:sz w:val="24"/>
          <w:szCs w:val="24"/>
          <w:u w:color="000000" w:themeColor="text1"/>
          <w:lang w:eastAsia="zh-CN"/>
          <w14:textFill>
            <w14:solidFill>
              <w14:schemeClr w14:val="tx1"/>
            </w14:solidFill>
          </w14:textFill>
        </w:rPr>
        <w:t>林草</w:t>
      </w:r>
      <w:r>
        <w:rPr>
          <w:rFonts w:ascii="Times New Roman" w:hAnsi="Times New Roman" w:eastAsia="仿宋"/>
          <w:color w:val="000000" w:themeColor="text1"/>
          <w:sz w:val="24"/>
          <w:szCs w:val="24"/>
          <w:u w:color="000000" w:themeColor="text1"/>
          <w:lang w:eastAsia="zh-CN"/>
          <w14:textFill>
            <w14:solidFill>
              <w14:schemeClr w14:val="tx1"/>
            </w14:solidFill>
          </w14:textFill>
        </w:rPr>
        <w:t>植被成活需浇水灌溉的实际经验，</w:t>
      </w:r>
      <w:r>
        <w:rPr>
          <w:rFonts w:hint="eastAsia" w:ascii="仿宋_GB2312" w:hAnsi="Times New Roman" w:eastAsia="仿宋_GB2312"/>
          <w:bCs/>
          <w:color w:val="000000" w:themeColor="text1"/>
          <w:sz w:val="24"/>
          <w:lang w:eastAsia="zh-CN"/>
          <w14:textFill>
            <w14:solidFill>
              <w14:schemeClr w14:val="tx1"/>
            </w14:solidFill>
          </w14:textFill>
        </w:rPr>
        <w:t>确定管护期</w:t>
      </w:r>
      <w:r>
        <w:rPr>
          <w:rFonts w:hint="eastAsia" w:ascii="仿宋_GB2312" w:eastAsia="仿宋_GB2312"/>
          <w:bCs/>
          <w:color w:val="000000" w:themeColor="text1"/>
          <w:sz w:val="24"/>
          <w:lang w:eastAsia="zh-CN"/>
          <w14:textFill>
            <w14:solidFill>
              <w14:schemeClr w14:val="tx1"/>
            </w14:solidFill>
          </w14:textFill>
        </w:rPr>
        <w:t>第一年进行</w:t>
      </w:r>
      <w:r>
        <w:rPr>
          <w:rFonts w:hint="eastAsia" w:ascii="仿宋_GB2312" w:hAnsi="Times New Roman" w:eastAsia="仿宋_GB2312"/>
          <w:bCs/>
          <w:color w:val="000000" w:themeColor="text1"/>
          <w:sz w:val="24"/>
          <w:lang w:eastAsia="zh-CN"/>
          <w14:textFill>
            <w14:solidFill>
              <w14:schemeClr w14:val="tx1"/>
            </w14:solidFill>
          </w14:textFill>
        </w:rPr>
        <w:t>人工灌溉，</w:t>
      </w:r>
      <w:r>
        <w:rPr>
          <w:rFonts w:ascii="Times New Roman" w:hAnsi="Times New Roman" w:eastAsia="仿宋"/>
          <w:color w:val="000000" w:themeColor="text1"/>
          <w:sz w:val="24"/>
          <w:szCs w:val="24"/>
          <w:u w:color="000000" w:themeColor="text1"/>
          <w:lang w:eastAsia="zh-CN"/>
          <w14:textFill>
            <w14:solidFill>
              <w14:schemeClr w14:val="tx1"/>
            </w14:solidFill>
          </w14:textFill>
        </w:rPr>
        <w:t>保证</w:t>
      </w:r>
      <w:r>
        <w:rPr>
          <w:rFonts w:hint="eastAsia" w:ascii="Times New Roman" w:hAnsi="Times New Roman" w:eastAsia="仿宋"/>
          <w:color w:val="000000" w:themeColor="text1"/>
          <w:sz w:val="24"/>
          <w:szCs w:val="24"/>
          <w:u w:color="000000" w:themeColor="text1"/>
          <w:lang w:eastAsia="zh-CN"/>
          <w14:textFill>
            <w14:solidFill>
              <w14:schemeClr w14:val="tx1"/>
            </w14:solidFill>
          </w14:textFill>
        </w:rPr>
        <w:t>林草</w:t>
      </w:r>
      <w:r>
        <w:rPr>
          <w:rFonts w:ascii="Times New Roman" w:hAnsi="Times New Roman" w:eastAsia="仿宋"/>
          <w:color w:val="000000" w:themeColor="text1"/>
          <w:sz w:val="24"/>
          <w:szCs w:val="24"/>
          <w:u w:color="000000" w:themeColor="text1"/>
          <w:lang w:eastAsia="zh-CN"/>
          <w14:textFill>
            <w14:solidFill>
              <w14:schemeClr w14:val="tx1"/>
            </w14:solidFill>
          </w14:textFill>
        </w:rPr>
        <w:t>植被成活的用水量为每年每公顷</w:t>
      </w:r>
      <w:r>
        <w:rPr>
          <w:rFonts w:hint="eastAsia" w:ascii="Times New Roman" w:hAnsi="Times New Roman" w:eastAsia="仿宋"/>
          <w:color w:val="000000" w:themeColor="text1"/>
          <w:sz w:val="24"/>
          <w:szCs w:val="24"/>
          <w:u w:color="000000" w:themeColor="text1"/>
          <w:lang w:eastAsia="zh-CN"/>
          <w14:textFill>
            <w14:solidFill>
              <w14:schemeClr w14:val="tx1"/>
            </w14:solidFill>
          </w14:textFill>
        </w:rPr>
        <w:t>1800</w:t>
      </w:r>
      <w:r>
        <w:rPr>
          <w:rFonts w:ascii="Times New Roman" w:hAnsi="Times New Roman" w:eastAsia="仿宋"/>
          <w:color w:val="000000" w:themeColor="text1"/>
          <w:sz w:val="24"/>
          <w:szCs w:val="24"/>
          <w:u w:color="000000" w:themeColor="text1"/>
          <w:lang w:eastAsia="zh-CN"/>
          <w14:textFill>
            <w14:solidFill>
              <w14:schemeClr w14:val="tx1"/>
            </w14:solidFill>
          </w14:textFill>
        </w:rPr>
        <w:t>m</w:t>
      </w:r>
      <w:r>
        <w:rPr>
          <w:rFonts w:ascii="Times New Roman" w:hAnsi="Times New Roman" w:eastAsia="仿宋"/>
          <w:color w:val="000000" w:themeColor="text1"/>
          <w:sz w:val="24"/>
          <w:szCs w:val="24"/>
          <w:u w:color="000000" w:themeColor="text1"/>
          <w:vertAlign w:val="superscript"/>
          <w:lang w:eastAsia="zh-CN"/>
          <w14:textFill>
            <w14:solidFill>
              <w14:schemeClr w14:val="tx1"/>
            </w14:solidFill>
          </w14:textFill>
        </w:rPr>
        <w:t>3</w:t>
      </w:r>
      <w:r>
        <w:rPr>
          <w:rFonts w:hint="eastAsia" w:ascii="Times New Roman" w:hAnsi="Times New Roman" w:eastAsia="仿宋"/>
          <w:color w:val="000000" w:themeColor="text1"/>
          <w:sz w:val="24"/>
          <w:szCs w:val="24"/>
          <w:lang w:eastAsia="zh-CN"/>
          <w14:textFill>
            <w14:solidFill>
              <w14:schemeClr w14:val="tx1"/>
            </w14:solidFill>
          </w14:textFill>
        </w:rPr>
        <w:t>，</w:t>
      </w:r>
      <w:r>
        <w:rPr>
          <w:rFonts w:hint="eastAsia" w:ascii="Times New Roman" w:hAnsi="Times New Roman" w:eastAsia="仿宋"/>
          <w:color w:val="000000" w:themeColor="text1"/>
          <w:sz w:val="24"/>
          <w:szCs w:val="24"/>
          <w:u w:color="000000" w:themeColor="text1"/>
          <w:lang w:eastAsia="zh-CN"/>
          <w14:textFill>
            <w14:solidFill>
              <w14:schemeClr w14:val="tx1"/>
            </w14:solidFill>
          </w14:textFill>
        </w:rPr>
        <w:t>拟复垦</w:t>
      </w:r>
      <w:r>
        <w:rPr>
          <w:rFonts w:ascii="Times New Roman" w:hAnsi="Times New Roman" w:eastAsia="仿宋"/>
          <w:color w:val="000000" w:themeColor="text1"/>
          <w:sz w:val="24"/>
          <w:szCs w:val="24"/>
          <w:u w:color="000000" w:themeColor="text1"/>
          <w:lang w:eastAsia="zh-CN"/>
          <w14:textFill>
            <w14:solidFill>
              <w14:schemeClr w14:val="tx1"/>
            </w14:solidFill>
          </w14:textFill>
        </w:rPr>
        <w:t>面积为4.6599hm</w:t>
      </w:r>
      <w:r>
        <w:rPr>
          <w:rFonts w:ascii="Times New Roman" w:hAnsi="Times New Roman" w:eastAsia="仿宋"/>
          <w:color w:val="000000" w:themeColor="text1"/>
          <w:sz w:val="24"/>
          <w:szCs w:val="24"/>
          <w:u w:color="000000" w:themeColor="text1"/>
          <w:vertAlign w:val="superscript"/>
          <w:lang w:eastAsia="zh-CN"/>
          <w14:textFill>
            <w14:solidFill>
              <w14:schemeClr w14:val="tx1"/>
            </w14:solidFill>
          </w14:textFill>
        </w:rPr>
        <w:t>2</w:t>
      </w:r>
      <w:r>
        <w:rPr>
          <w:rFonts w:ascii="Times New Roman" w:hAnsi="Times New Roman" w:eastAsia="仿宋"/>
          <w:color w:val="000000" w:themeColor="text1"/>
          <w:sz w:val="24"/>
          <w:szCs w:val="24"/>
          <w:u w:color="000000" w:themeColor="text1"/>
          <w:lang w:eastAsia="zh-CN"/>
          <w14:textFill>
            <w14:solidFill>
              <w14:schemeClr w14:val="tx1"/>
            </w14:solidFill>
          </w14:textFill>
        </w:rPr>
        <w:t>，则管护期内每年保证植被成活的用水量总需求为</w:t>
      </w:r>
      <w:r>
        <w:rPr>
          <w:rFonts w:hint="eastAsia" w:ascii="Times New Roman" w:hAnsi="Times New Roman" w:eastAsia="仿宋"/>
          <w:color w:val="000000" w:themeColor="text1"/>
          <w:sz w:val="24"/>
          <w:szCs w:val="24"/>
          <w:u w:color="000000" w:themeColor="text1"/>
          <w:lang w:eastAsia="zh-CN"/>
          <w14:textFill>
            <w14:solidFill>
              <w14:schemeClr w14:val="tx1"/>
            </w14:solidFill>
          </w14:textFill>
        </w:rPr>
        <w:t>8387.</w:t>
      </w:r>
      <w:r>
        <w:rPr>
          <w:rFonts w:ascii="Times New Roman" w:hAnsi="Times New Roman" w:eastAsia="仿宋"/>
          <w:color w:val="000000" w:themeColor="text1"/>
          <w:sz w:val="24"/>
          <w:szCs w:val="24"/>
          <w:u w:color="000000" w:themeColor="text1"/>
          <w:lang w:eastAsia="zh-CN"/>
          <w14:textFill>
            <w14:solidFill>
              <w14:schemeClr w14:val="tx1"/>
            </w14:solidFill>
          </w14:textFill>
        </w:rPr>
        <w:t>82m</w:t>
      </w:r>
      <w:r>
        <w:rPr>
          <w:rFonts w:ascii="Times New Roman" w:hAnsi="Times New Roman" w:eastAsia="仿宋"/>
          <w:color w:val="000000" w:themeColor="text1"/>
          <w:sz w:val="24"/>
          <w:szCs w:val="24"/>
          <w:u w:color="000000" w:themeColor="text1"/>
          <w:vertAlign w:val="superscript"/>
          <w:lang w:eastAsia="zh-CN"/>
          <w14:textFill>
            <w14:solidFill>
              <w14:schemeClr w14:val="tx1"/>
            </w14:solidFill>
          </w14:textFill>
        </w:rPr>
        <w:t>3</w:t>
      </w:r>
      <w:r>
        <w:rPr>
          <w:rFonts w:ascii="Times New Roman" w:hAnsi="Times New Roman" w:eastAsia="仿宋"/>
          <w:color w:val="000000" w:themeColor="text1"/>
          <w:sz w:val="24"/>
          <w:szCs w:val="24"/>
          <w:u w:color="000000" w:themeColor="text1"/>
          <w:lang w:eastAsia="zh-CN"/>
          <w14:textFill>
            <w14:solidFill>
              <w14:schemeClr w14:val="tx1"/>
            </w14:solidFill>
          </w14:textFill>
        </w:rPr>
        <w:t>。</w:t>
      </w:r>
    </w:p>
    <w:p>
      <w:pPr>
        <w:pStyle w:val="59"/>
        <w:ind w:firstLine="480"/>
      </w:pPr>
      <w:r>
        <w:rPr>
          <w:szCs w:val="24"/>
        </w:rPr>
        <w:t>项目区拟复垦的</w:t>
      </w:r>
      <w:r>
        <w:rPr>
          <w:rFonts w:hint="eastAsia"/>
          <w:szCs w:val="24"/>
        </w:rPr>
        <w:t>林地和草地时</w:t>
      </w:r>
      <w:r>
        <w:rPr>
          <w:szCs w:val="24"/>
        </w:rPr>
        <w:t>，管护时采用水泵抽水与洒水车拉运相结合的方式进行灌溉浇水。灌溉水源为沿线灌渠渠水，水资源稳定且水质较好，可满足植被对水质的要求，后期管护时用水可直接从旁边灌渠内抽取，运距</w:t>
      </w:r>
      <w:r>
        <w:rPr>
          <w:rFonts w:hint="eastAsia"/>
          <w:szCs w:val="24"/>
        </w:rPr>
        <w:t>约为500</w:t>
      </w:r>
      <w:r>
        <w:rPr>
          <w:szCs w:val="24"/>
        </w:rPr>
        <w:t>m</w:t>
      </w:r>
      <w:r>
        <w:rPr>
          <w:rFonts w:hint="eastAsia"/>
          <w:szCs w:val="24"/>
        </w:rPr>
        <w:t>。</w:t>
      </w:r>
    </w:p>
    <w:p>
      <w:pPr>
        <w:pStyle w:val="51"/>
      </w:pPr>
      <w:bookmarkStart w:id="53" w:name="_Toc236071684"/>
      <w:bookmarkStart w:id="54" w:name="_Toc236071656"/>
      <w:r>
        <w:rPr>
          <w:rFonts w:hint="eastAsia"/>
        </w:rPr>
        <w:t>七</w:t>
      </w:r>
      <w:r>
        <w:t>、土地复垦投资估算</w:t>
      </w:r>
      <w:bookmarkEnd w:id="53"/>
      <w:bookmarkEnd w:id="54"/>
    </w:p>
    <w:p>
      <w:pPr>
        <w:pStyle w:val="52"/>
      </w:pPr>
      <w:bookmarkStart w:id="55" w:name="_Toc236071657"/>
      <w:r>
        <w:t>（一）规范政策依据</w:t>
      </w:r>
      <w:bookmarkEnd w:id="55"/>
    </w:p>
    <w:p>
      <w:pPr>
        <w:pStyle w:val="59"/>
        <w:ind w:firstLine="480"/>
      </w:pPr>
      <w:r>
        <w:rPr>
          <w:rFonts w:hint="eastAsia"/>
        </w:rPr>
        <w:t>1</w:t>
      </w:r>
      <w:r>
        <w:t>）《土地复垦方案编制实务》（国土资源部土地整理中心2011年印发）；</w:t>
      </w:r>
    </w:p>
    <w:p>
      <w:pPr>
        <w:pStyle w:val="59"/>
        <w:ind w:firstLine="480"/>
      </w:pPr>
      <w:r>
        <w:rPr>
          <w:rFonts w:hint="eastAsia"/>
        </w:rPr>
        <w:t>2</w:t>
      </w:r>
      <w:r>
        <w:t>）《土地开发整理项目预算定额标准》（财政部 国土资源部2012年印发）；</w:t>
      </w:r>
    </w:p>
    <w:p>
      <w:pPr>
        <w:pStyle w:val="59"/>
        <w:ind w:firstLine="480"/>
      </w:pPr>
      <w:r>
        <w:rPr>
          <w:rFonts w:hint="eastAsia"/>
        </w:rPr>
        <w:t>3）《水利工程设计概（估）算编制规定》（水总〔2024〕323号）</w:t>
      </w:r>
    </w:p>
    <w:p>
      <w:pPr>
        <w:pStyle w:val="59"/>
        <w:ind w:firstLine="480"/>
      </w:pPr>
      <w:r>
        <w:t>4</w:t>
      </w:r>
      <w:r>
        <w:rPr>
          <w:rFonts w:hint="eastAsia"/>
        </w:rPr>
        <w:t>）《新疆水利水电工程设计概（估）算计列安全保障措施专项费等三项费用的规定》（新水厅〔2021〕153号）；</w:t>
      </w:r>
    </w:p>
    <w:p>
      <w:pPr>
        <w:pStyle w:val="59"/>
        <w:ind w:firstLine="480"/>
      </w:pPr>
      <w:r>
        <w:t>5）《财政部 国土资源部关于印发土地开发整理项目预算定额标准的通知》（财综〔2011〕128号）；</w:t>
      </w:r>
    </w:p>
    <w:p>
      <w:pPr>
        <w:pStyle w:val="59"/>
        <w:ind w:firstLine="480"/>
      </w:pPr>
      <w:r>
        <w:t>6</w:t>
      </w:r>
      <w:r>
        <w:rPr>
          <w:rFonts w:hint="eastAsia"/>
        </w:rPr>
        <w:t>）《新疆维吾尔自治区土地整治项目补充预算定额（试行）》；</w:t>
      </w:r>
    </w:p>
    <w:p>
      <w:pPr>
        <w:pStyle w:val="59"/>
        <w:ind w:firstLine="480"/>
      </w:pPr>
      <w:r>
        <w:t>7）</w:t>
      </w:r>
      <w:r>
        <w:rPr>
          <w:rFonts w:hint="eastAsia"/>
        </w:rPr>
        <w:t>《新疆维吾尔自治区公路工程建设项目估概预算编制办法补充规定》</w:t>
      </w:r>
      <w:r>
        <w:t>（</w:t>
      </w:r>
      <w:r>
        <w:rPr>
          <w:rFonts w:hint="eastAsia"/>
        </w:rPr>
        <w:t>新交规﹝2021﹞1号</w:t>
      </w:r>
      <w:r>
        <w:t>）；</w:t>
      </w:r>
    </w:p>
    <w:p>
      <w:pPr>
        <w:pStyle w:val="59"/>
        <w:ind w:firstLine="480"/>
      </w:pPr>
      <w:r>
        <w:t>8）</w:t>
      </w:r>
      <w:r>
        <w:rPr>
          <w:rFonts w:hint="eastAsia"/>
        </w:rPr>
        <w:t>《国土资源部办公厅关于印发土地整治工程营业税改增值税计价依据调整过度实施方案的通知》（国土资厅发〔2017〕19号）；</w:t>
      </w:r>
    </w:p>
    <w:p>
      <w:pPr>
        <w:pStyle w:val="59"/>
        <w:ind w:firstLine="480"/>
      </w:pPr>
      <w:r>
        <w:t>9）《财政部 税务总局 海关总署关于深化增值税改革有关政策的公告》（财政部 税务总局 海关总署公告2019年第39号）；</w:t>
      </w:r>
    </w:p>
    <w:p>
      <w:pPr>
        <w:pStyle w:val="59"/>
        <w:ind w:firstLine="480"/>
      </w:pPr>
      <w:r>
        <w:t>10）新疆维吾尔自治区住房和城乡建设厅《关于调整我区建设工程计价依据</w:t>
      </w:r>
      <w:r>
        <w:rPr>
          <w:rFonts w:hint="eastAsia"/>
        </w:rPr>
        <w:t>增值税税率的通知》（新建标〔2019〕4号）。</w:t>
      </w:r>
    </w:p>
    <w:p>
      <w:pPr>
        <w:pStyle w:val="52"/>
      </w:pPr>
      <w:bookmarkStart w:id="56" w:name="_Toc236071658"/>
      <w:r>
        <w:rPr>
          <w:rFonts w:hint="eastAsia"/>
        </w:rPr>
        <w:t>（二</w:t>
      </w:r>
      <w:r>
        <w:t>）材料价格依据</w:t>
      </w:r>
      <w:bookmarkEnd w:id="56"/>
    </w:p>
    <w:p>
      <w:pPr>
        <w:pStyle w:val="59"/>
        <w:ind w:firstLine="480"/>
      </w:pPr>
      <w:r>
        <w:t>新疆工程造价信息网发布的</w:t>
      </w:r>
      <w:r>
        <w:rPr>
          <w:rFonts w:hint="eastAsia"/>
        </w:rPr>
        <w:t>喀什地区2026年4月建设工程综合价格信息和</w:t>
      </w:r>
      <w:r>
        <w:t>市场价格。</w:t>
      </w:r>
    </w:p>
    <w:p>
      <w:pPr>
        <w:pStyle w:val="52"/>
      </w:pPr>
      <w:bookmarkStart w:id="57" w:name="_Toc156638136"/>
      <w:bookmarkStart w:id="58" w:name="_Toc381195156"/>
      <w:bookmarkStart w:id="59" w:name="_Toc236071659"/>
      <w:r>
        <w:rPr>
          <w:rFonts w:hint="eastAsia"/>
        </w:rPr>
        <w:t>（三）</w:t>
      </w:r>
      <w:r>
        <w:t>基础单价编制</w:t>
      </w:r>
      <w:bookmarkEnd w:id="57"/>
      <w:bookmarkEnd w:id="58"/>
      <w:bookmarkEnd w:id="59"/>
    </w:p>
    <w:p>
      <w:pPr>
        <w:pStyle w:val="53"/>
      </w:pPr>
      <w:bookmarkStart w:id="60" w:name="_Toc236071660"/>
      <w:bookmarkStart w:id="61" w:name="_Toc156638137"/>
      <w:r>
        <w:t>1.人工单价计算</w:t>
      </w:r>
      <w:bookmarkEnd w:id="60"/>
    </w:p>
    <w:bookmarkEnd w:id="61"/>
    <w:p>
      <w:pPr>
        <w:pStyle w:val="59"/>
        <w:ind w:firstLine="480"/>
      </w:pPr>
      <w:r>
        <w:rPr>
          <w:rFonts w:hint="eastAsia"/>
        </w:rPr>
        <w:t>人工预算单价按财政部经济建设司、国土资源部财务司2011年新预算标准《土地开发整理项目预算定额》（财综</w:t>
      </w:r>
      <w:r>
        <w:rPr>
          <w:rFonts w:hint="eastAsia" w:ascii="仿宋" w:hAnsi="仿宋"/>
        </w:rPr>
        <w:t>〔</w:t>
      </w:r>
      <w:r>
        <w:rPr>
          <w:rFonts w:hint="eastAsia"/>
        </w:rPr>
        <w:t>2011</w:t>
      </w:r>
      <w:r>
        <w:rPr>
          <w:rFonts w:hint="eastAsia" w:ascii="仿宋" w:hAnsi="仿宋"/>
        </w:rPr>
        <w:t>〕</w:t>
      </w:r>
      <w:r>
        <w:rPr>
          <w:rFonts w:hint="eastAsia"/>
        </w:rPr>
        <w:t>128号）和《土地复垦方案编制实务》（2011年）中人工费的计算办法确定。</w:t>
      </w:r>
    </w:p>
    <w:p>
      <w:pPr>
        <w:pStyle w:val="53"/>
      </w:pPr>
      <w:bookmarkStart w:id="62" w:name="_Toc236071661"/>
      <w:r>
        <w:t>2.主要材料预算价格</w:t>
      </w:r>
      <w:bookmarkEnd w:id="62"/>
    </w:p>
    <w:p>
      <w:pPr>
        <w:adjustRightInd w:val="0"/>
        <w:snapToGrid w:val="0"/>
        <w:spacing w:after="0" w:line="360" w:lineRule="auto"/>
        <w:ind w:firstLine="480" w:firstLineChars="200"/>
        <w:jc w:val="both"/>
        <w:rPr>
          <w:rFonts w:ascii="Times New Roman" w:hAnsi="Times New Roman" w:eastAsia="仿宋"/>
          <w:color w:val="000000" w:themeColor="text1"/>
          <w:sz w:val="24"/>
          <w:szCs w:val="24"/>
          <w:u w:color="000000" w:themeColor="text1"/>
          <w:lang w:eastAsia="zh-CN"/>
          <w14:textFill>
            <w14:solidFill>
              <w14:schemeClr w14:val="tx1"/>
            </w14:solidFill>
          </w14:textFill>
        </w:rPr>
      </w:pPr>
      <w:r>
        <w:rPr>
          <w:rFonts w:ascii="Times New Roman" w:hAnsi="Times New Roman" w:eastAsia="仿宋"/>
          <w:color w:val="000000" w:themeColor="text1"/>
          <w:sz w:val="24"/>
          <w:szCs w:val="24"/>
          <w:u w:color="000000" w:themeColor="text1"/>
          <w:lang w:eastAsia="zh-CN"/>
          <w14:textFill>
            <w14:solidFill>
              <w14:schemeClr w14:val="tx1"/>
            </w14:solidFill>
          </w14:textFill>
        </w:rPr>
        <w:t>1）施工用电价格</w:t>
      </w:r>
    </w:p>
    <w:p>
      <w:pPr>
        <w:pStyle w:val="59"/>
        <w:ind w:firstLine="480"/>
      </w:pPr>
      <w:r>
        <w:t>施工用电为自发用电与电网供电相结合</w:t>
      </w:r>
      <w:r>
        <w:rPr>
          <w:rFonts w:hint="eastAsia"/>
          <w:lang w:eastAsia="zh-CN"/>
        </w:rPr>
        <w:t>。</w:t>
      </w:r>
      <w:r>
        <w:rPr>
          <w:rFonts w:hint="eastAsia"/>
          <w:lang w:val="en-US" w:eastAsia="zh-CN"/>
        </w:rPr>
        <w:t>经</w:t>
      </w:r>
      <w:r>
        <w:t>计算</w:t>
      </w:r>
      <w:r>
        <w:rPr>
          <w:rFonts w:hint="eastAsia"/>
          <w:lang w:eastAsia="zh-CN"/>
        </w:rPr>
        <w:t>，</w:t>
      </w:r>
      <w:r>
        <w:t>电价</w:t>
      </w:r>
      <w:r>
        <w:rPr>
          <w:rFonts w:hint="eastAsia"/>
          <w:lang w:val="en-US" w:eastAsia="zh-CN"/>
        </w:rPr>
        <w:t>为</w:t>
      </w:r>
      <w:r>
        <w:t>1.017元/千瓦</w:t>
      </w:r>
      <w:r>
        <w:rPr>
          <w:rFonts w:hint="eastAsia"/>
          <w:lang w:val="en-US" w:eastAsia="zh-CN"/>
        </w:rPr>
        <w:t>时</w:t>
      </w:r>
      <w:r>
        <w:rPr>
          <w:rFonts w:hint="eastAsia"/>
        </w:rPr>
        <w:t>。</w:t>
      </w:r>
    </w:p>
    <w:p>
      <w:pPr>
        <w:adjustRightInd w:val="0"/>
        <w:snapToGrid w:val="0"/>
        <w:spacing w:after="0" w:line="360" w:lineRule="auto"/>
        <w:ind w:firstLine="480" w:firstLineChars="200"/>
        <w:jc w:val="both"/>
        <w:rPr>
          <w:rFonts w:ascii="Times New Roman" w:hAnsi="Times New Roman" w:eastAsia="仿宋"/>
          <w:color w:val="000000" w:themeColor="text1"/>
          <w:sz w:val="24"/>
          <w:szCs w:val="24"/>
          <w:u w:color="000000" w:themeColor="text1"/>
          <w:lang w:eastAsia="zh-CN"/>
          <w14:textFill>
            <w14:solidFill>
              <w14:schemeClr w14:val="tx1"/>
            </w14:solidFill>
          </w14:textFill>
        </w:rPr>
      </w:pPr>
      <w:r>
        <w:rPr>
          <w:rFonts w:ascii="Times New Roman" w:hAnsi="Times New Roman" w:eastAsia="仿宋"/>
          <w:color w:val="000000" w:themeColor="text1"/>
          <w:sz w:val="24"/>
          <w:szCs w:val="24"/>
          <w:u w:color="000000" w:themeColor="text1"/>
          <w:lang w:eastAsia="zh-CN"/>
          <w14:textFill>
            <w14:solidFill>
              <w14:schemeClr w14:val="tx1"/>
            </w14:solidFill>
          </w14:textFill>
        </w:rPr>
        <w:t>2）施工用水价格</w:t>
      </w:r>
    </w:p>
    <w:p>
      <w:pPr>
        <w:pStyle w:val="59"/>
        <w:ind w:firstLine="480"/>
        <w:rPr>
          <w:rFonts w:hint="eastAsia" w:eastAsia="仿宋"/>
          <w:lang w:eastAsia="zh-CN"/>
        </w:rPr>
      </w:pPr>
      <w:r>
        <w:t>施工用水用单级17千瓦的离心式水泵供水。经计算</w:t>
      </w:r>
      <w:r>
        <w:rPr>
          <w:rFonts w:hint="eastAsia"/>
          <w:lang w:eastAsia="zh-CN"/>
        </w:rPr>
        <w:t>，</w:t>
      </w:r>
      <w:r>
        <w:t>施工用水的工地预算价</w:t>
      </w:r>
      <w:r>
        <w:rPr>
          <w:rFonts w:hint="eastAsia"/>
          <w:lang w:val="en-US" w:eastAsia="zh-CN"/>
        </w:rPr>
        <w:t>为</w:t>
      </w:r>
      <w:r>
        <w:rPr>
          <w:rFonts w:hint="eastAsia"/>
        </w:rPr>
        <w:t>1.14</w:t>
      </w:r>
      <w:r>
        <w:t>元/立方米</w:t>
      </w:r>
      <w:r>
        <w:rPr>
          <w:rFonts w:hint="eastAsia"/>
          <w:lang w:eastAsia="zh-CN"/>
        </w:rPr>
        <w:t>。</w:t>
      </w:r>
    </w:p>
    <w:p>
      <w:pPr>
        <w:adjustRightInd w:val="0"/>
        <w:snapToGrid w:val="0"/>
        <w:spacing w:after="0" w:line="360" w:lineRule="auto"/>
        <w:ind w:firstLine="480" w:firstLineChars="200"/>
        <w:jc w:val="both"/>
        <w:rPr>
          <w:rFonts w:ascii="Times New Roman" w:hAnsi="Times New Roman" w:eastAsia="仿宋"/>
          <w:color w:val="000000" w:themeColor="text1"/>
          <w:sz w:val="24"/>
          <w:szCs w:val="24"/>
          <w:u w:color="000000" w:themeColor="text1"/>
          <w:lang w:eastAsia="zh-CN"/>
          <w14:textFill>
            <w14:solidFill>
              <w14:schemeClr w14:val="tx1"/>
            </w14:solidFill>
          </w14:textFill>
        </w:rPr>
      </w:pPr>
      <w:r>
        <w:rPr>
          <w:rFonts w:ascii="Times New Roman" w:hAnsi="Times New Roman" w:eastAsia="仿宋"/>
          <w:color w:val="000000" w:themeColor="text1"/>
          <w:sz w:val="24"/>
          <w:szCs w:val="24"/>
          <w:u w:color="000000" w:themeColor="text1"/>
          <w:lang w:eastAsia="zh-CN"/>
          <w14:textFill>
            <w14:solidFill>
              <w14:schemeClr w14:val="tx1"/>
            </w14:solidFill>
          </w14:textFill>
        </w:rPr>
        <w:t>3）施工用风价格</w:t>
      </w:r>
    </w:p>
    <w:p>
      <w:pPr>
        <w:pStyle w:val="59"/>
        <w:ind w:firstLine="480"/>
      </w:pPr>
      <w:r>
        <w:t>施工用风采用移动式9立方米/分钟的电动空气压缩机供应。经计算</w:t>
      </w:r>
      <w:r>
        <w:rPr>
          <w:rFonts w:hint="eastAsia"/>
          <w:lang w:eastAsia="zh-CN"/>
        </w:rPr>
        <w:t>，</w:t>
      </w:r>
      <w:r>
        <w:t>施工用风的工地预算价</w:t>
      </w:r>
      <w:r>
        <w:rPr>
          <w:rFonts w:hint="eastAsia"/>
          <w:lang w:val="en-US" w:eastAsia="zh-CN"/>
        </w:rPr>
        <w:t>为</w:t>
      </w:r>
      <w:r>
        <w:rPr>
          <w:rFonts w:hint="eastAsia"/>
        </w:rPr>
        <w:t>0.4</w:t>
      </w:r>
      <w:r>
        <w:t>1元/立方米。</w:t>
      </w:r>
    </w:p>
    <w:p>
      <w:pPr>
        <w:pStyle w:val="53"/>
      </w:pPr>
      <w:bookmarkStart w:id="63" w:name="_Toc236071662"/>
      <w:r>
        <w:t>3.主要材料价格</w:t>
      </w:r>
      <w:bookmarkEnd w:id="63"/>
    </w:p>
    <w:p>
      <w:pPr>
        <w:pStyle w:val="59"/>
        <w:ind w:firstLine="480"/>
      </w:pPr>
      <w:r>
        <w:t>材料预算价格=（材料原价+包装费+运杂费）×（1+采购及保管费率）+运输保险费</w:t>
      </w:r>
    </w:p>
    <w:p>
      <w:pPr>
        <w:pStyle w:val="59"/>
        <w:ind w:firstLine="480"/>
      </w:pPr>
      <w:r>
        <w:t>其中：运杂费考虑了材料、运距以及单位距离运输费用其计算结果见附表。</w:t>
      </w:r>
    </w:p>
    <w:p>
      <w:pPr>
        <w:pStyle w:val="59"/>
        <w:ind w:firstLine="480"/>
      </w:pPr>
      <w:r>
        <w:t>根</w:t>
      </w:r>
      <w:r>
        <w:rPr>
          <w:rFonts w:ascii="仿宋" w:hAnsi="仿宋"/>
        </w:rPr>
        <w:t>据“财综</w:t>
      </w:r>
      <w:r>
        <w:t>〔2011〕128</w:t>
      </w:r>
      <w:r>
        <w:rPr>
          <w:rFonts w:ascii="仿宋" w:hAnsi="仿宋"/>
        </w:rPr>
        <w:t>号”对主</w:t>
      </w:r>
      <w:r>
        <w:t>要材料进行限价，当主要材料预算价格等于或小于“主材规定价格表”中所列的规定价格时，直接计入工程施工费单价；当主要材料预算价格大于“主材规定价格表”中所列的规定价格时，超出限价部分单独计算材料价差（只计取材料费和税金），不参与取费。本方案中对汽油、柴油进行限价，汽油取5000元/吨，柴油4500元/吨。</w:t>
      </w:r>
    </w:p>
    <w:p>
      <w:pPr>
        <w:pStyle w:val="52"/>
      </w:pPr>
      <w:bookmarkStart w:id="64" w:name="_Toc236071663"/>
      <w:r>
        <w:rPr>
          <w:rFonts w:hint="eastAsia"/>
        </w:rPr>
        <w:t>（四</w:t>
      </w:r>
      <w:r>
        <w:t>）费用构成及计算标准</w:t>
      </w:r>
      <w:bookmarkEnd w:id="64"/>
    </w:p>
    <w:p>
      <w:pPr>
        <w:pStyle w:val="59"/>
        <w:ind w:firstLine="480"/>
      </w:pPr>
      <w:r>
        <w:t>根据《土地复垦方案编制规程》及结合本项目的实际情况，确定本项目土地复垦费用包括工程施工费、设备费、其他费用（前期工作费、工程监理费、竣工验收费、业主管理费）、监测与管护费以及预备费（基本预备费和价差预备费）。</w:t>
      </w:r>
    </w:p>
    <w:p>
      <w:pPr>
        <w:pStyle w:val="53"/>
      </w:pPr>
      <w:bookmarkStart w:id="65" w:name="_Toc260918510"/>
      <w:bookmarkStart w:id="66" w:name="_Toc205788757"/>
      <w:bookmarkStart w:id="67" w:name="_Toc272330998"/>
      <w:bookmarkStart w:id="68" w:name="_Toc234999500"/>
      <w:bookmarkStart w:id="69" w:name="_Toc247964583"/>
      <w:bookmarkStart w:id="70" w:name="_Toc242845584"/>
      <w:bookmarkStart w:id="71" w:name="_Toc236071664"/>
      <w:bookmarkStart w:id="72" w:name="_Toc228761360"/>
      <w:r>
        <w:t>1.工程施工费</w:t>
      </w:r>
      <w:bookmarkEnd w:id="65"/>
      <w:bookmarkEnd w:id="66"/>
      <w:bookmarkEnd w:id="67"/>
      <w:bookmarkEnd w:id="68"/>
      <w:bookmarkEnd w:id="69"/>
      <w:bookmarkEnd w:id="70"/>
      <w:bookmarkEnd w:id="71"/>
      <w:bookmarkEnd w:id="72"/>
    </w:p>
    <w:p>
      <w:pPr>
        <w:pStyle w:val="59"/>
        <w:ind w:firstLine="480"/>
      </w:pPr>
      <w:r>
        <w:t>工程施工费由直接费、间接费、企业利润和税金组成。</w:t>
      </w:r>
    </w:p>
    <w:p>
      <w:pPr>
        <w:pStyle w:val="59"/>
        <w:ind w:firstLine="480"/>
      </w:pPr>
      <w:bookmarkStart w:id="73" w:name="_Toc203466838"/>
      <w:r>
        <w:t>1）直接费</w:t>
      </w:r>
      <w:bookmarkEnd w:id="73"/>
    </w:p>
    <w:p>
      <w:pPr>
        <w:pStyle w:val="59"/>
        <w:ind w:firstLine="480"/>
      </w:pPr>
      <w:r>
        <w:t>指工程施工过程中直接消耗在工程项目上的活劳动和物化劳动。由直接工程费和措施费组成。</w:t>
      </w:r>
    </w:p>
    <w:p>
      <w:pPr>
        <w:pStyle w:val="59"/>
        <w:ind w:firstLine="480"/>
      </w:pPr>
      <w:r>
        <w:rPr>
          <w:rFonts w:hint="eastAsia"/>
        </w:rPr>
        <w:t>（1）</w:t>
      </w:r>
      <w:r>
        <w:t>直接工程费</w:t>
      </w:r>
    </w:p>
    <w:p>
      <w:pPr>
        <w:pStyle w:val="59"/>
        <w:ind w:firstLine="480"/>
      </w:pPr>
      <w:r>
        <w:t>直接工程费由人工费、材料费、施工机械台班费组成。</w:t>
      </w:r>
    </w:p>
    <w:p>
      <w:pPr>
        <w:pStyle w:val="59"/>
        <w:ind w:firstLine="480"/>
      </w:pPr>
      <w:r>
        <w:t>人工费＝∑分项工程量×分项工程定额人工费</w:t>
      </w:r>
    </w:p>
    <w:p>
      <w:pPr>
        <w:pStyle w:val="59"/>
        <w:ind w:firstLine="480"/>
      </w:pPr>
      <w:r>
        <w:t>分项工程定额人工费是人工单价与定额消耗标准的乘积。</w:t>
      </w:r>
    </w:p>
    <w:p>
      <w:pPr>
        <w:pStyle w:val="59"/>
        <w:ind w:firstLine="480"/>
      </w:pPr>
      <w:r>
        <w:t>材料费＝∑分项工程量×分项工程定额材料费</w:t>
      </w:r>
    </w:p>
    <w:p>
      <w:pPr>
        <w:pStyle w:val="59"/>
        <w:ind w:firstLine="480"/>
      </w:pPr>
      <w:r>
        <w:t>定额材料费是定额中各种材料估算价格与定额消耗量的乘积之和，材料价格为</w:t>
      </w:r>
      <w:r>
        <w:rPr>
          <w:rFonts w:hint="eastAsia"/>
        </w:rPr>
        <w:t>喀什地区202</w:t>
      </w:r>
      <w:r>
        <w:t>6</w:t>
      </w:r>
      <w:r>
        <w:rPr>
          <w:rFonts w:hint="eastAsia"/>
        </w:rPr>
        <w:t>年</w:t>
      </w:r>
      <w:r>
        <w:t>4</w:t>
      </w:r>
      <w:r>
        <w:rPr>
          <w:rFonts w:hint="eastAsia"/>
        </w:rPr>
        <w:t>月份建设工程综合价格信息</w:t>
      </w:r>
      <w:r>
        <w:t>以及市场价格。</w:t>
      </w:r>
    </w:p>
    <w:p>
      <w:pPr>
        <w:pStyle w:val="59"/>
        <w:ind w:firstLine="480"/>
      </w:pPr>
      <w:r>
        <w:t>施工机械使用费＝∑分项工程量×分项工程定额机械费。</w:t>
      </w:r>
    </w:p>
    <w:p>
      <w:pPr>
        <w:pStyle w:val="59"/>
        <w:ind w:firstLine="480"/>
      </w:pPr>
      <w:r>
        <w:rPr>
          <w:rFonts w:hint="eastAsia"/>
        </w:rPr>
        <w:t>（2）</w:t>
      </w:r>
      <w:r>
        <w:t>措施费</w:t>
      </w:r>
    </w:p>
    <w:p>
      <w:pPr>
        <w:pStyle w:val="59"/>
        <w:ind w:firstLine="480"/>
      </w:pPr>
      <w:r>
        <w:t>措施费是指为完成工程项目施工，发生与该工程施工前和施工过程中非工程实体项目的费用。主要包括临时设施费、冬雨季施工增加费、夜间施工增加费、施工辅助费和特殊地区施工增加费。费率根据《土地开发整理项目预算定额标准》的规定，结合本项目施工特点，措施费按直接工程费的3.6%计取。</w:t>
      </w:r>
    </w:p>
    <w:p>
      <w:pPr>
        <w:pStyle w:val="59"/>
        <w:ind w:firstLine="480"/>
      </w:pPr>
      <w:bookmarkStart w:id="74" w:name="_Toc203466839"/>
      <w:r>
        <w:t>2）间接费</w:t>
      </w:r>
      <w:bookmarkEnd w:id="74"/>
    </w:p>
    <w:p>
      <w:pPr>
        <w:pStyle w:val="59"/>
        <w:ind w:firstLine="480"/>
      </w:pPr>
      <w:r>
        <w:t>间接费由规费和企业管理费组成。结合生产建设项目土地复垦工程特点，间接费可按直接费的5%计算。</w:t>
      </w:r>
    </w:p>
    <w:p>
      <w:pPr>
        <w:pStyle w:val="59"/>
        <w:ind w:firstLine="480"/>
      </w:pPr>
      <w:bookmarkStart w:id="75" w:name="_Toc203466840"/>
      <w:r>
        <w:t>3）利润</w:t>
      </w:r>
      <w:bookmarkEnd w:id="75"/>
    </w:p>
    <w:p>
      <w:pPr>
        <w:pStyle w:val="59"/>
        <w:ind w:firstLine="480"/>
      </w:pPr>
      <w:r>
        <w:t>利润是指施工企业完成所承包工程获得的盈利，按直接费和间接费之和的3%计算。</w:t>
      </w:r>
    </w:p>
    <w:p>
      <w:pPr>
        <w:pStyle w:val="59"/>
        <w:ind w:firstLine="480"/>
      </w:pPr>
      <w:bookmarkStart w:id="76" w:name="_Toc203466841"/>
      <w:r>
        <w:t>4）税金</w:t>
      </w:r>
      <w:bookmarkEnd w:id="76"/>
    </w:p>
    <w:p>
      <w:pPr>
        <w:pStyle w:val="59"/>
        <w:ind w:firstLine="480"/>
      </w:pPr>
      <w:r>
        <w:t>税金是指按国家规定应计入造价内的营业税、城市</w:t>
      </w:r>
      <w:r>
        <w:rPr>
          <w:rFonts w:hint="eastAsia"/>
          <w:lang w:val="en-US" w:eastAsia="zh-CN"/>
        </w:rPr>
        <w:t>维护</w:t>
      </w:r>
      <w:r>
        <w:t>建设税和教育费附加。依据《关于调整我区建设工程计价依据增值税税率的通知》（新建标〔2019〕4号），综合税率为9%。</w:t>
      </w:r>
    </w:p>
    <w:p>
      <w:pPr>
        <w:pStyle w:val="53"/>
      </w:pPr>
      <w:bookmarkStart w:id="77" w:name="_Toc236071665"/>
      <w:r>
        <w:rPr>
          <w:rFonts w:hint="eastAsia"/>
        </w:rPr>
        <w:t>2</w:t>
      </w:r>
      <w:r>
        <w:t>.设备购置费</w:t>
      </w:r>
      <w:bookmarkEnd w:id="77"/>
    </w:p>
    <w:p>
      <w:pPr>
        <w:pStyle w:val="59"/>
        <w:ind w:firstLine="480"/>
      </w:pPr>
      <w:r>
        <w:t>设备购置费是指在土地复垦过程中，因需要购置各种永久性设备所发生的费用。根据本项目的实际情况，土地复垦过程中所涉及的复垦机械设备均由复垦工程具体施工单位提供或采用租用方式，故本方案不存在购买设备的费用。</w:t>
      </w:r>
    </w:p>
    <w:p>
      <w:pPr>
        <w:pStyle w:val="53"/>
      </w:pPr>
      <w:bookmarkStart w:id="78" w:name="_Toc236071666"/>
      <w:r>
        <w:t>3.其他费用</w:t>
      </w:r>
      <w:bookmarkEnd w:id="78"/>
    </w:p>
    <w:p>
      <w:pPr>
        <w:pStyle w:val="59"/>
        <w:ind w:firstLine="480"/>
      </w:pPr>
      <w:r>
        <w:t>其他费用包括前期工作费、工程监理费、竣工验收费和业主管理费。</w:t>
      </w:r>
    </w:p>
    <w:p>
      <w:pPr>
        <w:pStyle w:val="59"/>
        <w:ind w:firstLine="480"/>
      </w:pPr>
      <w:r>
        <w:t>1）前期工作费</w:t>
      </w:r>
    </w:p>
    <w:p>
      <w:pPr>
        <w:pStyle w:val="59"/>
        <w:ind w:firstLine="480"/>
      </w:pPr>
      <w:r>
        <w:t>前期工作费指土地复垦工程在施工前所发生的各项支出，包括土地利用与生态现状调查费、土地勘测费、土地复垦方案编制费、阶段性实施方案编制费、科研实验费和工程招标代理费。</w:t>
      </w:r>
    </w:p>
    <w:p>
      <w:pPr>
        <w:pStyle w:val="59"/>
        <w:ind w:firstLine="480"/>
      </w:pPr>
      <w:r>
        <w:t>对于生产建设项目，前期工作费主要包括两大费用：一是生产项目审批之前发生的与土地复垦相关的费用，该费用纳入企业成本，不纳入复垦专项资金；二是生产项目开始之后，复垦实施之前的复垦相关的费用，计入复垦专项资金，根据《土地开发整理项目预算定额标准》，本方案按工程施工费的6%计取。</w:t>
      </w:r>
    </w:p>
    <w:p>
      <w:pPr>
        <w:pStyle w:val="59"/>
        <w:ind w:firstLine="480"/>
      </w:pPr>
      <w:r>
        <w:t>2）工程监理费</w:t>
      </w:r>
    </w:p>
    <w:p>
      <w:pPr>
        <w:pStyle w:val="59"/>
        <w:ind w:firstLine="480"/>
      </w:pPr>
      <w:r>
        <w:t>工程监理费是指项目承担单位委托具有工程监理资质的单位，按国家有关规定进行全过程的监督与管理所发生的费用。参考国家发展和改革委员会颁布的《建设工程监理与相关服务收费管理规定》（发改价格〔2007〕670号），工程监理费按工程施工费的2%计取。</w:t>
      </w:r>
    </w:p>
    <w:p>
      <w:pPr>
        <w:pStyle w:val="59"/>
        <w:ind w:firstLine="480"/>
      </w:pPr>
      <w:r>
        <w:t>3）竣工验收费</w:t>
      </w:r>
    </w:p>
    <w:p>
      <w:pPr>
        <w:pStyle w:val="59"/>
        <w:ind w:firstLine="480"/>
      </w:pPr>
      <w:r>
        <w:t>是指项目工程完工后，因项目竣工验收、决算、成果的管理等发生的各项支出，包括竣工验收与决算费、项目决算审计费、土地重估与登记费等费用。根据《土地开发整理项目预算定额标准》，竣工验收费按工程施工费的3%计取。</w:t>
      </w:r>
    </w:p>
    <w:p>
      <w:pPr>
        <w:pStyle w:val="59"/>
        <w:ind w:firstLine="480"/>
      </w:pPr>
      <w:r>
        <w:t>4）业主管理费</w:t>
      </w:r>
    </w:p>
    <w:p>
      <w:pPr>
        <w:pStyle w:val="59"/>
        <w:ind w:firstLine="480"/>
      </w:pPr>
      <w:r>
        <w:t>业主管理费指项目承担单位为项目的组织、管理所发生的各项管理性支出。根据《土地开发整理项目预算定额标准》规定，业主管理费按工程施工费、前期工作费、工程监理费和竣工验收费四项之和的2%计取。</w:t>
      </w:r>
    </w:p>
    <w:p>
      <w:pPr>
        <w:pStyle w:val="53"/>
      </w:pPr>
      <w:bookmarkStart w:id="79" w:name="_Toc236071667"/>
      <w:r>
        <w:t>4.复垦监测与管护费</w:t>
      </w:r>
      <w:bookmarkEnd w:id="79"/>
    </w:p>
    <w:p>
      <w:pPr>
        <w:pStyle w:val="59"/>
        <w:ind w:firstLine="480"/>
      </w:pPr>
      <w:r>
        <w:t>1）监测费</w:t>
      </w:r>
    </w:p>
    <w:p>
      <w:pPr>
        <w:pStyle w:val="59"/>
        <w:ind w:firstLine="480"/>
      </w:pPr>
      <w:r>
        <w:t>复垦监测费是指在土地复垦管护期内对植被成活率和生长状况的观察与监测，确保复垦工作的顺利完成。该项目复垦工程实施后，需要对复垦</w:t>
      </w:r>
      <w:r>
        <w:rPr>
          <w:rFonts w:hint="eastAsia"/>
        </w:rPr>
        <w:t>后耕地、园地和林地</w:t>
      </w:r>
      <w:r>
        <w:t>进行监测，监测时间3年。监测费用的提取按照当地实际情况进行计提。</w:t>
      </w:r>
    </w:p>
    <w:p>
      <w:pPr>
        <w:pStyle w:val="59"/>
        <w:ind w:firstLine="480"/>
      </w:pPr>
      <w:r>
        <w:t>2）管护费</w:t>
      </w:r>
    </w:p>
    <w:p>
      <w:pPr>
        <w:pStyle w:val="59"/>
        <w:ind w:firstLine="480"/>
      </w:pPr>
      <w:r>
        <w:t>管护费是对复垦后的一些重要的工程措施、植被和复垦区域土地等进行有针对性的巡查、补植、</w:t>
      </w:r>
      <w:r>
        <w:rPr>
          <w:rFonts w:hint="eastAsia"/>
        </w:rPr>
        <w:t>补种、</w:t>
      </w:r>
      <w:r>
        <w:t>浇水、喷药等管护工作所发生的费用，主要包括管理和管护。该项目复垦工程实施后，需要对复垦</w:t>
      </w:r>
      <w:r>
        <w:rPr>
          <w:rFonts w:hint="eastAsia"/>
        </w:rPr>
        <w:t>后林地</w:t>
      </w:r>
      <w:r>
        <w:t>采取管护措施，后期管护时间为3年。</w:t>
      </w:r>
      <w:r>
        <w:rPr>
          <w:rFonts w:hint="eastAsia"/>
        </w:rPr>
        <w:t>林地</w:t>
      </w:r>
      <w:r>
        <w:t>管护费用的提取按照当地实际情况进行计提。</w:t>
      </w:r>
    </w:p>
    <w:p>
      <w:pPr>
        <w:pStyle w:val="53"/>
      </w:pPr>
      <w:bookmarkStart w:id="80" w:name="_Toc236071668"/>
      <w:r>
        <w:t>5.预备费</w:t>
      </w:r>
      <w:bookmarkEnd w:id="80"/>
    </w:p>
    <w:p>
      <w:pPr>
        <w:pStyle w:val="59"/>
        <w:ind w:firstLine="480"/>
      </w:pPr>
      <w:r>
        <w:t>预备费是在考虑了土地复垦期间可能发生的风险因素，从而导致复垦费用增加的一项费用。本方案预备费主要包括基本预备费、价差预备费和风险金。</w:t>
      </w:r>
    </w:p>
    <w:p>
      <w:pPr>
        <w:pStyle w:val="59"/>
        <w:ind w:firstLine="480"/>
      </w:pPr>
      <w:r>
        <w:t>1）基本预备费</w:t>
      </w:r>
    </w:p>
    <w:p>
      <w:pPr>
        <w:pStyle w:val="59"/>
        <w:ind w:firstLine="480"/>
      </w:pPr>
      <w:r>
        <w:t>指为解决在工程施工过程中因自然灾害、设计变更等所增加的费用。根据《土地开发整理项目预算定额标准》，可按工程施工费和其他费用之和的3%计取。</w:t>
      </w:r>
    </w:p>
    <w:p>
      <w:pPr>
        <w:pStyle w:val="59"/>
        <w:ind w:firstLine="480"/>
      </w:pPr>
      <w:r>
        <w:t>2）价差预备费</w:t>
      </w:r>
    </w:p>
    <w:p>
      <w:pPr>
        <w:pStyle w:val="59"/>
        <w:ind w:firstLine="480"/>
      </w:pPr>
      <w:r>
        <w:t>指为解决在工程施工过程中，因物价（人工、材料和设备价格）上涨、国家宏观调控以及地方经济发展等因素而增加的费用。本方案价差预备费按国家计委计投资﹝1999﹞1340号执行，暂停计列。</w:t>
      </w:r>
    </w:p>
    <w:p>
      <w:pPr>
        <w:pStyle w:val="59"/>
        <w:ind w:firstLine="480"/>
      </w:pPr>
      <w:r>
        <w:t>3）风险金</w:t>
      </w:r>
    </w:p>
    <w:p>
      <w:pPr>
        <w:pStyle w:val="59"/>
        <w:ind w:firstLine="480"/>
      </w:pPr>
      <w:r>
        <w:t>指可预见而目前技术上无法完全避免的土地复垦过程中可能发生的风险的备用金。据本项目施工设计及环境影响报告书中环境风险因素分析，结合《土地复垦方案编制规程》中对复垦工程风险金计取的要求“金属矿山和开采年限较长的非金属矿等复垦工程按可能性大小，以复垦施工费为基数计取风险金”，本项目不计取风险金费用。</w:t>
      </w:r>
    </w:p>
    <w:p>
      <w:pPr>
        <w:pStyle w:val="53"/>
      </w:pPr>
      <w:bookmarkStart w:id="81" w:name="_Toc236071669"/>
      <w:r>
        <w:t>6.</w:t>
      </w:r>
      <w:r>
        <w:rPr>
          <w:rFonts w:hint="eastAsia"/>
        </w:rPr>
        <w:t>其他情况说明</w:t>
      </w:r>
      <w:bookmarkEnd w:id="81"/>
    </w:p>
    <w:p>
      <w:pPr>
        <w:pStyle w:val="59"/>
        <w:ind w:firstLine="480"/>
      </w:pPr>
      <w:r>
        <w:rPr>
          <w:rFonts w:hint="eastAsia"/>
        </w:rPr>
        <w:t>本项目为防洪配套土地复垦工程，财综〔2011〕128号文件中自卸汽车运土仅覆盖0～10km场内运输，本项目土方运距36km超出定额适用范围。依据水总〔2024〕323号《水利工程设计概（估）算编制规定》及《水利建筑工程预算定额》相关规定，运距拆分计算：10km以内套用定额基础子目，超出10km部分按每增运1km台班消耗量1</w:t>
      </w:r>
      <w:r>
        <w:t>.76台时，</w:t>
      </w:r>
      <w:r>
        <w:rPr>
          <w:rFonts w:hint="eastAsia"/>
        </w:rPr>
        <w:t>乘以0.75长途运输折减系数计取机械台班。即：(3</w:t>
      </w:r>
      <w:r>
        <w:t>6km-10km)*1.76台时*0.75/8=4.29台班。该项目为</w:t>
      </w:r>
      <w:r>
        <w:rPr>
          <w:rFonts w:hint="eastAsia"/>
        </w:rPr>
        <w:t>3</w:t>
      </w:r>
      <w:r>
        <w:t>6km，台班为</w:t>
      </w:r>
      <w:r>
        <w:rPr>
          <w:rFonts w:hint="eastAsia"/>
        </w:rPr>
        <w:t>4</w:t>
      </w:r>
      <w:r>
        <w:t>.29+5.7=9.99台班。</w:t>
      </w:r>
    </w:p>
    <w:p>
      <w:pPr>
        <w:pStyle w:val="52"/>
      </w:pPr>
      <w:bookmarkStart w:id="82" w:name="_Toc236071670"/>
      <w:bookmarkStart w:id="83" w:name="_Toc499028109"/>
      <w:bookmarkStart w:id="84" w:name="_Toc503179557"/>
      <w:bookmarkStart w:id="85" w:name="_Toc323225503"/>
      <w:bookmarkStart w:id="86" w:name="_Toc60931105"/>
      <w:bookmarkStart w:id="87" w:name="_Toc480999890"/>
      <w:bookmarkStart w:id="88" w:name="_Toc300664000"/>
      <w:bookmarkStart w:id="89" w:name="_Toc114348316"/>
      <w:r>
        <w:t>（五）估算成果</w:t>
      </w:r>
      <w:bookmarkEnd w:id="82"/>
      <w:bookmarkEnd w:id="83"/>
      <w:bookmarkEnd w:id="84"/>
      <w:bookmarkEnd w:id="85"/>
      <w:bookmarkEnd w:id="86"/>
      <w:bookmarkEnd w:id="87"/>
      <w:bookmarkEnd w:id="88"/>
      <w:bookmarkEnd w:id="89"/>
    </w:p>
    <w:p>
      <w:pPr>
        <w:pStyle w:val="59"/>
        <w:ind w:firstLine="480"/>
      </w:pPr>
      <w:r>
        <w:rPr>
          <w:rFonts w:hint="eastAsia"/>
        </w:rPr>
        <w:t>项目区复垦土地总面积为8.2789公顷（合</w:t>
      </w:r>
      <w:r>
        <w:t>124.1835</w:t>
      </w:r>
      <w:r>
        <w:rPr>
          <w:rFonts w:hint="eastAsia"/>
        </w:rPr>
        <w:t>亩），项目静态总投资</w:t>
      </w:r>
      <w:r>
        <w:t>84.31</w:t>
      </w:r>
      <w:r>
        <w:rPr>
          <w:rFonts w:hint="eastAsia"/>
        </w:rPr>
        <w:t>万元，亩均投资</w:t>
      </w:r>
      <w:r>
        <w:t>6789</w:t>
      </w:r>
      <w:r>
        <w:rPr>
          <w:rFonts w:hint="eastAsia"/>
        </w:rPr>
        <w:t>元/亩。其中，工程施工费</w:t>
      </w:r>
      <w:r>
        <w:t>66.49</w:t>
      </w:r>
      <w:r>
        <w:rPr>
          <w:rFonts w:hint="eastAsia"/>
        </w:rPr>
        <w:t>万元，占静态总投资的</w:t>
      </w:r>
      <w:r>
        <w:t>78.86</w:t>
      </w:r>
      <w:r>
        <w:rPr>
          <w:rFonts w:hint="eastAsia"/>
        </w:rPr>
        <w:t>%；其他费用</w:t>
      </w:r>
      <w:r>
        <w:t>8.44</w:t>
      </w:r>
      <w:r>
        <w:rPr>
          <w:rFonts w:hint="eastAsia"/>
        </w:rPr>
        <w:t>万元，占静态总投资的</w:t>
      </w:r>
      <w:r>
        <w:t>10.01</w:t>
      </w:r>
      <w:r>
        <w:rPr>
          <w:rFonts w:hint="eastAsia"/>
        </w:rPr>
        <w:t>%；监测与管护</w:t>
      </w:r>
      <w:r>
        <w:t>7.13</w:t>
      </w:r>
      <w:r>
        <w:rPr>
          <w:rFonts w:hint="eastAsia"/>
        </w:rPr>
        <w:t>万元，占静态总投资的</w:t>
      </w:r>
      <w:r>
        <w:t>8.46</w:t>
      </w:r>
      <w:r>
        <w:rPr>
          <w:rFonts w:hint="eastAsia"/>
        </w:rPr>
        <w:t>%；预备费（基本预备费）</w:t>
      </w:r>
      <w:r>
        <w:t>2.25</w:t>
      </w:r>
      <w:r>
        <w:rPr>
          <w:rFonts w:hint="eastAsia"/>
        </w:rPr>
        <w:t>万元，占静态总投资的2.</w:t>
      </w:r>
      <w:r>
        <w:t>67</w:t>
      </w:r>
      <w:r>
        <w:rPr>
          <w:rFonts w:hint="eastAsia"/>
        </w:rPr>
        <w:t>%。</w:t>
      </w:r>
    </w:p>
    <w:p>
      <w:pPr>
        <w:pStyle w:val="68"/>
        <w:ind w:firstLine="420"/>
        <w:rPr>
          <w:u w:color="000000" w:themeColor="text1"/>
        </w:rPr>
      </w:pPr>
      <w:r>
        <w:rPr>
          <w:u w:color="000000" w:themeColor="text1"/>
        </w:rPr>
        <w:t>表3</w:t>
      </w:r>
      <w:r>
        <w:rPr>
          <w:rFonts w:hint="eastAsia"/>
          <w:u w:color="000000" w:themeColor="text1"/>
        </w:rPr>
        <w:t xml:space="preserve"> </w:t>
      </w:r>
      <w:r>
        <w:rPr>
          <w:u w:color="000000" w:themeColor="text1"/>
        </w:rPr>
        <w:t>土地复垦投资估算表</w:t>
      </w:r>
    </w:p>
    <w:tbl>
      <w:tblPr>
        <w:tblStyle w:val="35"/>
        <w:tblW w:w="83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2548"/>
        <w:gridCol w:w="1547"/>
        <w:gridCol w:w="2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9" w:hRule="atLeast"/>
          <w:tblHeader/>
          <w:jc w:val="center"/>
        </w:trPr>
        <w:tc>
          <w:tcPr>
            <w:tcW w:w="1429" w:type="dxa"/>
            <w:noWrap/>
            <w:vAlign w:val="center"/>
          </w:tcPr>
          <w:p>
            <w:pPr>
              <w:pStyle w:val="66"/>
            </w:pPr>
            <w:r>
              <w:t>序号</w:t>
            </w:r>
          </w:p>
        </w:tc>
        <w:tc>
          <w:tcPr>
            <w:tcW w:w="2548" w:type="dxa"/>
            <w:noWrap/>
            <w:vAlign w:val="center"/>
          </w:tcPr>
          <w:p>
            <w:pPr>
              <w:pStyle w:val="66"/>
            </w:pPr>
            <w:r>
              <w:t>工程或费用名称</w:t>
            </w:r>
          </w:p>
        </w:tc>
        <w:tc>
          <w:tcPr>
            <w:tcW w:w="1547" w:type="dxa"/>
            <w:vAlign w:val="center"/>
          </w:tcPr>
          <w:p>
            <w:pPr>
              <w:pStyle w:val="66"/>
            </w:pPr>
            <w:r>
              <w:t>费用/万元</w:t>
            </w:r>
          </w:p>
        </w:tc>
        <w:tc>
          <w:tcPr>
            <w:tcW w:w="2786" w:type="dxa"/>
            <w:vAlign w:val="center"/>
          </w:tcPr>
          <w:p>
            <w:pPr>
              <w:pStyle w:val="66"/>
            </w:pPr>
            <w:r>
              <w:t>各项费用占总费用的比例/%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一</w:t>
            </w:r>
          </w:p>
        </w:tc>
        <w:tc>
          <w:tcPr>
            <w:tcW w:w="2548" w:type="dxa"/>
            <w:noWrap/>
            <w:vAlign w:val="center"/>
          </w:tcPr>
          <w:p>
            <w:pPr>
              <w:pStyle w:val="66"/>
            </w:pPr>
            <w:r>
              <w:t>工程施工费</w:t>
            </w:r>
          </w:p>
        </w:tc>
        <w:tc>
          <w:tcPr>
            <w:tcW w:w="1547" w:type="dxa"/>
            <w:noWrap/>
            <w:vAlign w:val="center"/>
          </w:tcPr>
          <w:p>
            <w:pPr>
              <w:pStyle w:val="66"/>
            </w:pPr>
            <w:r>
              <w:t>66.49</w:t>
            </w:r>
          </w:p>
        </w:tc>
        <w:tc>
          <w:tcPr>
            <w:tcW w:w="2786" w:type="dxa"/>
            <w:noWrap/>
            <w:vAlign w:val="center"/>
          </w:tcPr>
          <w:p>
            <w:pPr>
              <w:pStyle w:val="66"/>
            </w:pPr>
            <w:r>
              <w:t>78.86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二</w:t>
            </w:r>
          </w:p>
        </w:tc>
        <w:tc>
          <w:tcPr>
            <w:tcW w:w="2548" w:type="dxa"/>
            <w:noWrap/>
            <w:vAlign w:val="center"/>
          </w:tcPr>
          <w:p>
            <w:pPr>
              <w:pStyle w:val="66"/>
            </w:pPr>
            <w:r>
              <w:t>设备费</w:t>
            </w:r>
          </w:p>
        </w:tc>
        <w:tc>
          <w:tcPr>
            <w:tcW w:w="1547" w:type="dxa"/>
            <w:noWrap/>
            <w:vAlign w:val="center"/>
          </w:tcPr>
          <w:p>
            <w:pPr>
              <w:pStyle w:val="66"/>
            </w:pPr>
            <w:r>
              <w:t>　</w:t>
            </w:r>
          </w:p>
        </w:tc>
        <w:tc>
          <w:tcPr>
            <w:tcW w:w="2786" w:type="dxa"/>
            <w:noWrap/>
            <w:vAlign w:val="center"/>
          </w:tcPr>
          <w:p>
            <w:pPr>
              <w:pStyle w:val="66"/>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三</w:t>
            </w:r>
          </w:p>
        </w:tc>
        <w:tc>
          <w:tcPr>
            <w:tcW w:w="2548" w:type="dxa"/>
            <w:noWrap/>
            <w:vAlign w:val="center"/>
          </w:tcPr>
          <w:p>
            <w:pPr>
              <w:pStyle w:val="66"/>
            </w:pPr>
            <w:r>
              <w:t>其他费用</w:t>
            </w:r>
          </w:p>
        </w:tc>
        <w:tc>
          <w:tcPr>
            <w:tcW w:w="1547" w:type="dxa"/>
            <w:noWrap/>
            <w:vAlign w:val="center"/>
          </w:tcPr>
          <w:p>
            <w:pPr>
              <w:pStyle w:val="66"/>
            </w:pPr>
            <w:r>
              <w:t>8.44</w:t>
            </w:r>
          </w:p>
        </w:tc>
        <w:tc>
          <w:tcPr>
            <w:tcW w:w="2786" w:type="dxa"/>
            <w:noWrap/>
            <w:vAlign w:val="center"/>
          </w:tcPr>
          <w:p>
            <w:pPr>
              <w:pStyle w:val="66"/>
            </w:pPr>
            <w:r>
              <w:t>10.01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四</w:t>
            </w:r>
          </w:p>
        </w:tc>
        <w:tc>
          <w:tcPr>
            <w:tcW w:w="2548" w:type="dxa"/>
            <w:noWrap/>
            <w:vAlign w:val="center"/>
          </w:tcPr>
          <w:p>
            <w:pPr>
              <w:pStyle w:val="66"/>
            </w:pPr>
            <w:r>
              <w:t>监测与管护费</w:t>
            </w:r>
          </w:p>
        </w:tc>
        <w:tc>
          <w:tcPr>
            <w:tcW w:w="1547" w:type="dxa"/>
            <w:noWrap/>
            <w:vAlign w:val="center"/>
          </w:tcPr>
          <w:p>
            <w:pPr>
              <w:pStyle w:val="66"/>
            </w:pPr>
            <w:r>
              <w:t>7.13</w:t>
            </w:r>
          </w:p>
        </w:tc>
        <w:tc>
          <w:tcPr>
            <w:tcW w:w="2786" w:type="dxa"/>
            <w:noWrap/>
            <w:vAlign w:val="center"/>
          </w:tcPr>
          <w:p>
            <w:pPr>
              <w:pStyle w:val="66"/>
            </w:pPr>
            <w:r>
              <w:t>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（一）</w:t>
            </w:r>
          </w:p>
        </w:tc>
        <w:tc>
          <w:tcPr>
            <w:tcW w:w="2548" w:type="dxa"/>
            <w:noWrap/>
            <w:vAlign w:val="center"/>
          </w:tcPr>
          <w:p>
            <w:pPr>
              <w:pStyle w:val="66"/>
            </w:pPr>
            <w:r>
              <w:t>复垦监测费</w:t>
            </w:r>
          </w:p>
        </w:tc>
        <w:tc>
          <w:tcPr>
            <w:tcW w:w="1547" w:type="dxa"/>
            <w:noWrap/>
            <w:vAlign w:val="center"/>
          </w:tcPr>
          <w:p>
            <w:pPr>
              <w:pStyle w:val="66"/>
            </w:pPr>
            <w:r>
              <w:t>0.54</w:t>
            </w:r>
          </w:p>
        </w:tc>
        <w:tc>
          <w:tcPr>
            <w:tcW w:w="2786" w:type="dxa"/>
            <w:noWrap/>
            <w:vAlign w:val="center"/>
          </w:tcPr>
          <w:p>
            <w:pPr>
              <w:pStyle w:val="66"/>
            </w:pPr>
            <w: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（二）</w:t>
            </w:r>
          </w:p>
        </w:tc>
        <w:tc>
          <w:tcPr>
            <w:tcW w:w="2548" w:type="dxa"/>
            <w:noWrap/>
            <w:vAlign w:val="center"/>
          </w:tcPr>
          <w:p>
            <w:pPr>
              <w:pStyle w:val="66"/>
            </w:pPr>
            <w:r>
              <w:t>管护费</w:t>
            </w:r>
          </w:p>
        </w:tc>
        <w:tc>
          <w:tcPr>
            <w:tcW w:w="1547" w:type="dxa"/>
            <w:noWrap/>
            <w:vAlign w:val="center"/>
          </w:tcPr>
          <w:p>
            <w:pPr>
              <w:pStyle w:val="66"/>
            </w:pPr>
            <w:r>
              <w:t>6.59</w:t>
            </w:r>
          </w:p>
        </w:tc>
        <w:tc>
          <w:tcPr>
            <w:tcW w:w="2786" w:type="dxa"/>
            <w:noWrap/>
            <w:vAlign w:val="center"/>
          </w:tcPr>
          <w:p>
            <w:pPr>
              <w:pStyle w:val="66"/>
            </w:pPr>
            <w:r>
              <w:t>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五</w:t>
            </w:r>
          </w:p>
        </w:tc>
        <w:tc>
          <w:tcPr>
            <w:tcW w:w="2548" w:type="dxa"/>
            <w:noWrap/>
            <w:vAlign w:val="center"/>
          </w:tcPr>
          <w:p>
            <w:pPr>
              <w:pStyle w:val="66"/>
            </w:pPr>
            <w:r>
              <w:t>预备费</w:t>
            </w:r>
          </w:p>
        </w:tc>
        <w:tc>
          <w:tcPr>
            <w:tcW w:w="1547" w:type="dxa"/>
            <w:noWrap/>
            <w:vAlign w:val="center"/>
          </w:tcPr>
          <w:p>
            <w:pPr>
              <w:pStyle w:val="66"/>
            </w:pPr>
            <w:r>
              <w:t>2.25</w:t>
            </w:r>
          </w:p>
        </w:tc>
        <w:tc>
          <w:tcPr>
            <w:tcW w:w="2786" w:type="dxa"/>
            <w:noWrap/>
            <w:vAlign w:val="center"/>
          </w:tcPr>
          <w:p>
            <w:pPr>
              <w:pStyle w:val="66"/>
            </w:pPr>
            <w:r>
              <w:t>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（一）</w:t>
            </w:r>
          </w:p>
        </w:tc>
        <w:tc>
          <w:tcPr>
            <w:tcW w:w="2548" w:type="dxa"/>
            <w:noWrap/>
            <w:vAlign w:val="center"/>
          </w:tcPr>
          <w:p>
            <w:pPr>
              <w:pStyle w:val="66"/>
            </w:pPr>
            <w:r>
              <w:t>基本预备费</w:t>
            </w:r>
          </w:p>
        </w:tc>
        <w:tc>
          <w:tcPr>
            <w:tcW w:w="1547" w:type="dxa"/>
            <w:noWrap/>
            <w:vAlign w:val="center"/>
          </w:tcPr>
          <w:p>
            <w:pPr>
              <w:pStyle w:val="66"/>
            </w:pPr>
            <w:r>
              <w:t>2.25</w:t>
            </w:r>
          </w:p>
        </w:tc>
        <w:tc>
          <w:tcPr>
            <w:tcW w:w="2786" w:type="dxa"/>
            <w:noWrap/>
            <w:vAlign w:val="center"/>
          </w:tcPr>
          <w:p>
            <w:pPr>
              <w:pStyle w:val="66"/>
            </w:pPr>
            <w:r>
              <w:t>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（二）</w:t>
            </w:r>
          </w:p>
        </w:tc>
        <w:tc>
          <w:tcPr>
            <w:tcW w:w="2548" w:type="dxa"/>
            <w:noWrap/>
            <w:vAlign w:val="center"/>
          </w:tcPr>
          <w:p>
            <w:pPr>
              <w:pStyle w:val="66"/>
            </w:pPr>
            <w:r>
              <w:t>价差预备费</w:t>
            </w:r>
          </w:p>
        </w:tc>
        <w:tc>
          <w:tcPr>
            <w:tcW w:w="1547" w:type="dxa"/>
            <w:noWrap/>
            <w:vAlign w:val="center"/>
          </w:tcPr>
          <w:p>
            <w:pPr>
              <w:pStyle w:val="66"/>
            </w:pPr>
            <w:r>
              <w:t>　</w:t>
            </w:r>
          </w:p>
        </w:tc>
        <w:tc>
          <w:tcPr>
            <w:tcW w:w="2786" w:type="dxa"/>
            <w:noWrap/>
            <w:vAlign w:val="center"/>
          </w:tcPr>
          <w:p>
            <w:pPr>
              <w:pStyle w:val="66"/>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六</w:t>
            </w:r>
          </w:p>
        </w:tc>
        <w:tc>
          <w:tcPr>
            <w:tcW w:w="2548" w:type="dxa"/>
            <w:noWrap/>
            <w:vAlign w:val="center"/>
          </w:tcPr>
          <w:p>
            <w:pPr>
              <w:pStyle w:val="66"/>
            </w:pPr>
            <w:r>
              <w:t>静态总投资</w:t>
            </w:r>
          </w:p>
        </w:tc>
        <w:tc>
          <w:tcPr>
            <w:tcW w:w="1547" w:type="dxa"/>
            <w:noWrap/>
            <w:vAlign w:val="center"/>
          </w:tcPr>
          <w:p>
            <w:pPr>
              <w:pStyle w:val="66"/>
            </w:pPr>
            <w:r>
              <w:t>84.31</w:t>
            </w:r>
          </w:p>
        </w:tc>
        <w:tc>
          <w:tcPr>
            <w:tcW w:w="2786" w:type="dxa"/>
            <w:noWrap/>
            <w:vAlign w:val="center"/>
          </w:tcPr>
          <w:p>
            <w:pPr>
              <w:pStyle w:val="66"/>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429" w:type="dxa"/>
            <w:noWrap/>
            <w:vAlign w:val="center"/>
          </w:tcPr>
          <w:p>
            <w:pPr>
              <w:pStyle w:val="66"/>
            </w:pPr>
            <w:r>
              <w:t>七</w:t>
            </w:r>
          </w:p>
        </w:tc>
        <w:tc>
          <w:tcPr>
            <w:tcW w:w="2548" w:type="dxa"/>
            <w:noWrap/>
            <w:vAlign w:val="center"/>
          </w:tcPr>
          <w:p>
            <w:pPr>
              <w:pStyle w:val="66"/>
            </w:pPr>
            <w:r>
              <w:t>动态总投资</w:t>
            </w:r>
          </w:p>
        </w:tc>
        <w:tc>
          <w:tcPr>
            <w:tcW w:w="1547" w:type="dxa"/>
            <w:noWrap/>
            <w:vAlign w:val="center"/>
          </w:tcPr>
          <w:p>
            <w:pPr>
              <w:pStyle w:val="66"/>
            </w:pPr>
            <w:r>
              <w:t>84.31</w:t>
            </w:r>
          </w:p>
        </w:tc>
        <w:tc>
          <w:tcPr>
            <w:tcW w:w="2786" w:type="dxa"/>
            <w:noWrap/>
            <w:vAlign w:val="center"/>
          </w:tcPr>
          <w:p>
            <w:pPr>
              <w:pStyle w:val="66"/>
            </w:pPr>
            <w:r>
              <w:t>100</w:t>
            </w:r>
          </w:p>
        </w:tc>
      </w:tr>
    </w:tbl>
    <w:p>
      <w:pPr>
        <w:adjustRightInd w:val="0"/>
        <w:snapToGrid w:val="0"/>
        <w:spacing w:after="0" w:line="240" w:lineRule="auto"/>
        <w:ind w:firstLine="420"/>
        <w:jc w:val="center"/>
        <w:rPr>
          <w:rFonts w:ascii="Times New Roman" w:hAnsi="Times New Roman" w:eastAsia="黑体"/>
          <w:color w:val="000000" w:themeColor="text1"/>
          <w:position w:val="-2"/>
          <w:sz w:val="21"/>
          <w:szCs w:val="21"/>
          <w:u w:color="000000" w:themeColor="text1"/>
          <w:lang w:eastAsia="zh-CN"/>
          <w14:textFill>
            <w14:solidFill>
              <w14:schemeClr w14:val="tx1"/>
            </w14:solidFill>
          </w14:textFill>
        </w:rPr>
      </w:pPr>
    </w:p>
    <w:p>
      <w:pPr>
        <w:adjustRightInd w:val="0"/>
        <w:snapToGrid w:val="0"/>
        <w:spacing w:after="0" w:line="240" w:lineRule="auto"/>
        <w:ind w:firstLine="420"/>
        <w:jc w:val="right"/>
        <w:rPr>
          <w:rFonts w:ascii="Times New Roman" w:hAnsi="Times New Roman" w:eastAsia="黑体"/>
          <w:color w:val="000000" w:themeColor="text1"/>
          <w:position w:val="-2"/>
          <w:sz w:val="21"/>
          <w:szCs w:val="21"/>
          <w:u w:color="000000" w:themeColor="text1"/>
          <w:lang w:eastAsia="zh-CN"/>
          <w14:textFill>
            <w14:solidFill>
              <w14:schemeClr w14:val="tx1"/>
            </w14:solidFill>
          </w14:textFill>
        </w:rPr>
        <w:sectPr>
          <w:pgSz w:w="11920" w:h="16840"/>
          <w:pgMar w:top="1440" w:right="1800" w:bottom="1440" w:left="1800" w:header="879" w:footer="1009" w:gutter="0"/>
          <w:cols w:space="720" w:num="1"/>
          <w:docGrid w:linePitch="299" w:charSpace="0"/>
        </w:sectPr>
      </w:pPr>
    </w:p>
    <w:p>
      <w:pPr>
        <w:adjustRightInd w:val="0"/>
        <w:snapToGrid w:val="0"/>
        <w:spacing w:after="0" w:line="240" w:lineRule="auto"/>
        <w:ind w:firstLine="420"/>
        <w:jc w:val="right"/>
        <w:rPr>
          <w:rFonts w:ascii="Times New Roman" w:hAnsi="Times New Roman" w:eastAsia="黑体"/>
          <w:color w:val="000000" w:themeColor="text1"/>
          <w:position w:val="-2"/>
          <w:sz w:val="21"/>
          <w:szCs w:val="21"/>
          <w:u w:color="000000" w:themeColor="text1"/>
          <w:lang w:eastAsia="zh-CN"/>
          <w14:textFill>
            <w14:solidFill>
              <w14:schemeClr w14:val="tx1"/>
            </w14:solidFill>
          </w14:textFill>
        </w:rPr>
      </w:pPr>
    </w:p>
    <w:p>
      <w:pPr>
        <w:pStyle w:val="68"/>
        <w:ind w:firstLine="420"/>
      </w:pPr>
      <w:r>
        <w:t>表4 工程施工费单价估算表</w:t>
      </w:r>
    </w:p>
    <w:tbl>
      <w:tblPr>
        <w:tblStyle w:val="35"/>
        <w:tblW w:w="132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9"/>
        <w:gridCol w:w="937"/>
        <w:gridCol w:w="2085"/>
        <w:gridCol w:w="709"/>
        <w:gridCol w:w="992"/>
        <w:gridCol w:w="873"/>
        <w:gridCol w:w="923"/>
        <w:gridCol w:w="910"/>
        <w:gridCol w:w="744"/>
        <w:gridCol w:w="730"/>
        <w:gridCol w:w="717"/>
        <w:gridCol w:w="627"/>
        <w:gridCol w:w="781"/>
        <w:gridCol w:w="712"/>
        <w:gridCol w:w="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序号</w:t>
            </w:r>
          </w:p>
        </w:tc>
        <w:tc>
          <w:tcPr>
            <w:tcW w:w="937" w:type="dxa"/>
            <w:noWrap/>
            <w:vAlign w:val="center"/>
          </w:tcPr>
          <w:p>
            <w:pPr>
              <w:pStyle w:val="66"/>
            </w:pPr>
            <w:r>
              <w:t>定额编号</w:t>
            </w:r>
          </w:p>
        </w:tc>
        <w:tc>
          <w:tcPr>
            <w:tcW w:w="2085" w:type="dxa"/>
            <w:noWrap/>
            <w:vAlign w:val="center"/>
          </w:tcPr>
          <w:p>
            <w:pPr>
              <w:pStyle w:val="66"/>
            </w:pPr>
            <w:r>
              <w:t>项目名称</w:t>
            </w:r>
          </w:p>
        </w:tc>
        <w:tc>
          <w:tcPr>
            <w:tcW w:w="709" w:type="dxa"/>
            <w:noWrap/>
            <w:vAlign w:val="center"/>
          </w:tcPr>
          <w:p>
            <w:pPr>
              <w:pStyle w:val="66"/>
            </w:pPr>
            <w:r>
              <w:t>单位</w:t>
            </w:r>
          </w:p>
        </w:tc>
        <w:tc>
          <w:tcPr>
            <w:tcW w:w="992" w:type="dxa"/>
            <w:noWrap/>
            <w:vAlign w:val="center"/>
          </w:tcPr>
          <w:p>
            <w:pPr>
              <w:pStyle w:val="66"/>
            </w:pPr>
            <w:r>
              <w:t>人工费</w:t>
            </w:r>
          </w:p>
        </w:tc>
        <w:tc>
          <w:tcPr>
            <w:tcW w:w="873" w:type="dxa"/>
            <w:noWrap/>
            <w:vAlign w:val="center"/>
          </w:tcPr>
          <w:p>
            <w:pPr>
              <w:pStyle w:val="66"/>
            </w:pPr>
            <w:r>
              <w:t>材料费</w:t>
            </w:r>
          </w:p>
        </w:tc>
        <w:tc>
          <w:tcPr>
            <w:tcW w:w="923" w:type="dxa"/>
            <w:noWrap/>
            <w:vAlign w:val="center"/>
          </w:tcPr>
          <w:p>
            <w:pPr>
              <w:pStyle w:val="66"/>
            </w:pPr>
            <w:r>
              <w:t>机械使用费</w:t>
            </w:r>
          </w:p>
        </w:tc>
        <w:tc>
          <w:tcPr>
            <w:tcW w:w="910" w:type="dxa"/>
            <w:noWrap/>
            <w:vAlign w:val="center"/>
          </w:tcPr>
          <w:p>
            <w:pPr>
              <w:pStyle w:val="66"/>
            </w:pPr>
            <w:r>
              <w:t>直接工程费</w:t>
            </w:r>
          </w:p>
        </w:tc>
        <w:tc>
          <w:tcPr>
            <w:tcW w:w="744" w:type="dxa"/>
            <w:noWrap/>
            <w:vAlign w:val="center"/>
          </w:tcPr>
          <w:p>
            <w:pPr>
              <w:pStyle w:val="66"/>
            </w:pPr>
            <w:r>
              <w:t>措施费</w:t>
            </w:r>
          </w:p>
        </w:tc>
        <w:tc>
          <w:tcPr>
            <w:tcW w:w="730" w:type="dxa"/>
            <w:noWrap/>
            <w:vAlign w:val="center"/>
          </w:tcPr>
          <w:p>
            <w:pPr>
              <w:pStyle w:val="66"/>
            </w:pPr>
            <w:r>
              <w:t>直接费</w:t>
            </w:r>
          </w:p>
        </w:tc>
        <w:tc>
          <w:tcPr>
            <w:tcW w:w="717" w:type="dxa"/>
            <w:noWrap/>
            <w:vAlign w:val="center"/>
          </w:tcPr>
          <w:p>
            <w:pPr>
              <w:pStyle w:val="66"/>
            </w:pPr>
            <w:r>
              <w:t>间接费</w:t>
            </w:r>
          </w:p>
        </w:tc>
        <w:tc>
          <w:tcPr>
            <w:tcW w:w="627" w:type="dxa"/>
            <w:noWrap/>
            <w:vAlign w:val="center"/>
          </w:tcPr>
          <w:p>
            <w:pPr>
              <w:pStyle w:val="66"/>
            </w:pPr>
            <w:r>
              <w:t>利润</w:t>
            </w:r>
          </w:p>
        </w:tc>
        <w:tc>
          <w:tcPr>
            <w:tcW w:w="781" w:type="dxa"/>
            <w:noWrap/>
            <w:vAlign w:val="center"/>
          </w:tcPr>
          <w:p>
            <w:pPr>
              <w:pStyle w:val="66"/>
            </w:pPr>
            <w:r>
              <w:t>材料价差</w:t>
            </w:r>
          </w:p>
        </w:tc>
        <w:tc>
          <w:tcPr>
            <w:tcW w:w="712" w:type="dxa"/>
            <w:noWrap/>
            <w:vAlign w:val="center"/>
          </w:tcPr>
          <w:p>
            <w:pPr>
              <w:pStyle w:val="66"/>
            </w:pPr>
            <w:r>
              <w:t>税金</w:t>
            </w:r>
          </w:p>
        </w:tc>
        <w:tc>
          <w:tcPr>
            <w:tcW w:w="831" w:type="dxa"/>
            <w:noWrap/>
            <w:vAlign w:val="center"/>
          </w:tcPr>
          <w:p>
            <w:pPr>
              <w:pStyle w:val="66"/>
            </w:pPr>
            <w:r>
              <w:t>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（一）</w:t>
            </w:r>
          </w:p>
        </w:tc>
        <w:tc>
          <w:tcPr>
            <w:tcW w:w="937" w:type="dxa"/>
            <w:noWrap/>
            <w:vAlign w:val="center"/>
          </w:tcPr>
          <w:p>
            <w:pPr>
              <w:pStyle w:val="66"/>
            </w:pPr>
            <w:r>
              <w:t>-</w:t>
            </w:r>
          </w:p>
        </w:tc>
        <w:tc>
          <w:tcPr>
            <w:tcW w:w="2085" w:type="dxa"/>
            <w:noWrap/>
            <w:vAlign w:val="center"/>
          </w:tcPr>
          <w:p>
            <w:pPr>
              <w:pStyle w:val="66"/>
            </w:pPr>
            <w:r>
              <w:t>土壤重构</w:t>
            </w:r>
          </w:p>
        </w:tc>
        <w:tc>
          <w:tcPr>
            <w:tcW w:w="709" w:type="dxa"/>
            <w:noWrap/>
            <w:vAlign w:val="center"/>
          </w:tcPr>
          <w:p>
            <w:pPr>
              <w:pStyle w:val="66"/>
            </w:pPr>
            <w:r>
              <w:t>-</w:t>
            </w:r>
          </w:p>
        </w:tc>
        <w:tc>
          <w:tcPr>
            <w:tcW w:w="992" w:type="dxa"/>
            <w:noWrap/>
            <w:vAlign w:val="center"/>
          </w:tcPr>
          <w:p>
            <w:pPr>
              <w:pStyle w:val="66"/>
            </w:pPr>
          </w:p>
        </w:tc>
        <w:tc>
          <w:tcPr>
            <w:tcW w:w="873" w:type="dxa"/>
            <w:noWrap/>
            <w:vAlign w:val="center"/>
          </w:tcPr>
          <w:p>
            <w:pPr>
              <w:pStyle w:val="66"/>
            </w:pPr>
          </w:p>
        </w:tc>
        <w:tc>
          <w:tcPr>
            <w:tcW w:w="923" w:type="dxa"/>
            <w:noWrap/>
            <w:vAlign w:val="center"/>
          </w:tcPr>
          <w:p>
            <w:pPr>
              <w:pStyle w:val="66"/>
            </w:pPr>
          </w:p>
        </w:tc>
        <w:tc>
          <w:tcPr>
            <w:tcW w:w="910" w:type="dxa"/>
            <w:noWrap/>
            <w:vAlign w:val="center"/>
          </w:tcPr>
          <w:p>
            <w:pPr>
              <w:pStyle w:val="66"/>
            </w:pPr>
          </w:p>
        </w:tc>
        <w:tc>
          <w:tcPr>
            <w:tcW w:w="744" w:type="dxa"/>
            <w:noWrap/>
            <w:vAlign w:val="center"/>
          </w:tcPr>
          <w:p>
            <w:pPr>
              <w:pStyle w:val="66"/>
            </w:pPr>
          </w:p>
        </w:tc>
        <w:tc>
          <w:tcPr>
            <w:tcW w:w="730" w:type="dxa"/>
            <w:noWrap/>
            <w:vAlign w:val="center"/>
          </w:tcPr>
          <w:p>
            <w:pPr>
              <w:pStyle w:val="66"/>
            </w:pPr>
          </w:p>
        </w:tc>
        <w:tc>
          <w:tcPr>
            <w:tcW w:w="717" w:type="dxa"/>
            <w:noWrap/>
            <w:vAlign w:val="center"/>
          </w:tcPr>
          <w:p>
            <w:pPr>
              <w:pStyle w:val="66"/>
            </w:pPr>
          </w:p>
        </w:tc>
        <w:tc>
          <w:tcPr>
            <w:tcW w:w="627" w:type="dxa"/>
            <w:noWrap/>
            <w:vAlign w:val="center"/>
          </w:tcPr>
          <w:p>
            <w:pPr>
              <w:pStyle w:val="66"/>
            </w:pPr>
          </w:p>
        </w:tc>
        <w:tc>
          <w:tcPr>
            <w:tcW w:w="781" w:type="dxa"/>
            <w:noWrap/>
            <w:vAlign w:val="center"/>
          </w:tcPr>
          <w:p>
            <w:pPr>
              <w:pStyle w:val="66"/>
            </w:pPr>
          </w:p>
        </w:tc>
        <w:tc>
          <w:tcPr>
            <w:tcW w:w="712" w:type="dxa"/>
            <w:noWrap/>
            <w:vAlign w:val="center"/>
          </w:tcPr>
          <w:p>
            <w:pPr>
              <w:pStyle w:val="66"/>
            </w:pPr>
          </w:p>
        </w:tc>
        <w:tc>
          <w:tcPr>
            <w:tcW w:w="831" w:type="dxa"/>
            <w:noWrap/>
            <w:vAlign w:val="center"/>
          </w:tcPr>
          <w:p>
            <w:pPr>
              <w:pStyle w:val="6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 xml:space="preserve">1 </w:t>
            </w:r>
          </w:p>
        </w:tc>
        <w:tc>
          <w:tcPr>
            <w:tcW w:w="937" w:type="dxa"/>
            <w:noWrap/>
            <w:vAlign w:val="center"/>
          </w:tcPr>
          <w:p>
            <w:pPr>
              <w:pStyle w:val="66"/>
            </w:pPr>
            <w:r>
              <w:t>-</w:t>
            </w:r>
          </w:p>
        </w:tc>
        <w:tc>
          <w:tcPr>
            <w:tcW w:w="2085" w:type="dxa"/>
            <w:noWrap/>
            <w:vAlign w:val="center"/>
          </w:tcPr>
          <w:p>
            <w:pPr>
              <w:pStyle w:val="66"/>
            </w:pPr>
            <w:r>
              <w:t>土壤剥覆工程</w:t>
            </w:r>
          </w:p>
        </w:tc>
        <w:tc>
          <w:tcPr>
            <w:tcW w:w="709" w:type="dxa"/>
            <w:noWrap/>
            <w:vAlign w:val="center"/>
          </w:tcPr>
          <w:p>
            <w:pPr>
              <w:pStyle w:val="66"/>
            </w:pPr>
            <w:r>
              <w:t>-</w:t>
            </w:r>
          </w:p>
        </w:tc>
        <w:tc>
          <w:tcPr>
            <w:tcW w:w="992" w:type="dxa"/>
            <w:noWrap/>
            <w:vAlign w:val="center"/>
          </w:tcPr>
          <w:p>
            <w:pPr>
              <w:pStyle w:val="66"/>
            </w:pPr>
          </w:p>
        </w:tc>
        <w:tc>
          <w:tcPr>
            <w:tcW w:w="873" w:type="dxa"/>
            <w:noWrap/>
            <w:vAlign w:val="center"/>
          </w:tcPr>
          <w:p>
            <w:pPr>
              <w:pStyle w:val="66"/>
            </w:pPr>
          </w:p>
        </w:tc>
        <w:tc>
          <w:tcPr>
            <w:tcW w:w="923" w:type="dxa"/>
            <w:noWrap/>
            <w:vAlign w:val="center"/>
          </w:tcPr>
          <w:p>
            <w:pPr>
              <w:pStyle w:val="66"/>
            </w:pPr>
          </w:p>
        </w:tc>
        <w:tc>
          <w:tcPr>
            <w:tcW w:w="910" w:type="dxa"/>
            <w:noWrap/>
            <w:vAlign w:val="center"/>
          </w:tcPr>
          <w:p>
            <w:pPr>
              <w:pStyle w:val="66"/>
            </w:pPr>
          </w:p>
        </w:tc>
        <w:tc>
          <w:tcPr>
            <w:tcW w:w="744" w:type="dxa"/>
            <w:noWrap/>
            <w:vAlign w:val="center"/>
          </w:tcPr>
          <w:p>
            <w:pPr>
              <w:pStyle w:val="66"/>
            </w:pPr>
          </w:p>
        </w:tc>
        <w:tc>
          <w:tcPr>
            <w:tcW w:w="730" w:type="dxa"/>
            <w:noWrap/>
            <w:vAlign w:val="center"/>
          </w:tcPr>
          <w:p>
            <w:pPr>
              <w:pStyle w:val="66"/>
            </w:pPr>
          </w:p>
        </w:tc>
        <w:tc>
          <w:tcPr>
            <w:tcW w:w="717" w:type="dxa"/>
            <w:noWrap/>
            <w:vAlign w:val="center"/>
          </w:tcPr>
          <w:p>
            <w:pPr>
              <w:pStyle w:val="66"/>
            </w:pPr>
          </w:p>
        </w:tc>
        <w:tc>
          <w:tcPr>
            <w:tcW w:w="627" w:type="dxa"/>
            <w:noWrap/>
            <w:vAlign w:val="center"/>
          </w:tcPr>
          <w:p>
            <w:pPr>
              <w:pStyle w:val="66"/>
            </w:pPr>
          </w:p>
        </w:tc>
        <w:tc>
          <w:tcPr>
            <w:tcW w:w="781" w:type="dxa"/>
            <w:noWrap/>
            <w:vAlign w:val="center"/>
          </w:tcPr>
          <w:p>
            <w:pPr>
              <w:pStyle w:val="66"/>
            </w:pPr>
          </w:p>
        </w:tc>
        <w:tc>
          <w:tcPr>
            <w:tcW w:w="712" w:type="dxa"/>
            <w:noWrap/>
            <w:vAlign w:val="center"/>
          </w:tcPr>
          <w:p>
            <w:pPr>
              <w:pStyle w:val="66"/>
            </w:pPr>
          </w:p>
        </w:tc>
        <w:tc>
          <w:tcPr>
            <w:tcW w:w="831" w:type="dxa"/>
            <w:noWrap/>
            <w:vAlign w:val="center"/>
          </w:tcPr>
          <w:p>
            <w:pPr>
              <w:pStyle w:val="6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w:t>
            </w:r>
          </w:p>
        </w:tc>
        <w:tc>
          <w:tcPr>
            <w:tcW w:w="937" w:type="dxa"/>
            <w:noWrap/>
            <w:vAlign w:val="center"/>
          </w:tcPr>
          <w:p>
            <w:pPr>
              <w:pStyle w:val="66"/>
            </w:pPr>
            <w:r>
              <w:t>10304</w:t>
            </w:r>
          </w:p>
        </w:tc>
        <w:tc>
          <w:tcPr>
            <w:tcW w:w="2085" w:type="dxa"/>
            <w:noWrap/>
            <w:vAlign w:val="center"/>
          </w:tcPr>
          <w:p>
            <w:pPr>
              <w:pStyle w:val="66"/>
            </w:pPr>
            <w:r>
              <w:t>表土剥离</w:t>
            </w:r>
          </w:p>
        </w:tc>
        <w:tc>
          <w:tcPr>
            <w:tcW w:w="709" w:type="dxa"/>
            <w:noWrap/>
            <w:vAlign w:val="center"/>
          </w:tcPr>
          <w:p>
            <w:pPr>
              <w:pStyle w:val="66"/>
            </w:pPr>
            <w:r>
              <w:t>m</w:t>
            </w:r>
            <w:r>
              <w:rPr>
                <w:vertAlign w:val="superscript"/>
              </w:rPr>
              <w:t>3</w:t>
            </w:r>
          </w:p>
        </w:tc>
        <w:tc>
          <w:tcPr>
            <w:tcW w:w="992" w:type="dxa"/>
            <w:noWrap/>
            <w:vAlign w:val="center"/>
          </w:tcPr>
          <w:p>
            <w:pPr>
              <w:pStyle w:val="66"/>
            </w:pPr>
            <w:r>
              <w:t>0.1</w:t>
            </w:r>
          </w:p>
        </w:tc>
        <w:tc>
          <w:tcPr>
            <w:tcW w:w="873" w:type="dxa"/>
            <w:noWrap/>
            <w:vAlign w:val="center"/>
          </w:tcPr>
          <w:p>
            <w:pPr>
              <w:pStyle w:val="66"/>
            </w:pPr>
          </w:p>
        </w:tc>
        <w:tc>
          <w:tcPr>
            <w:tcW w:w="923" w:type="dxa"/>
            <w:noWrap/>
            <w:vAlign w:val="center"/>
          </w:tcPr>
          <w:p>
            <w:pPr>
              <w:pStyle w:val="66"/>
            </w:pPr>
            <w:r>
              <w:t>1.58</w:t>
            </w:r>
          </w:p>
        </w:tc>
        <w:tc>
          <w:tcPr>
            <w:tcW w:w="910" w:type="dxa"/>
            <w:noWrap/>
            <w:vAlign w:val="center"/>
          </w:tcPr>
          <w:p>
            <w:pPr>
              <w:pStyle w:val="66"/>
            </w:pPr>
            <w:r>
              <w:t>1.69</w:t>
            </w:r>
          </w:p>
        </w:tc>
        <w:tc>
          <w:tcPr>
            <w:tcW w:w="744" w:type="dxa"/>
            <w:noWrap/>
            <w:vAlign w:val="center"/>
          </w:tcPr>
          <w:p>
            <w:pPr>
              <w:pStyle w:val="66"/>
            </w:pPr>
            <w:r>
              <w:t>0.06</w:t>
            </w:r>
          </w:p>
        </w:tc>
        <w:tc>
          <w:tcPr>
            <w:tcW w:w="730" w:type="dxa"/>
            <w:noWrap/>
            <w:vAlign w:val="center"/>
          </w:tcPr>
          <w:p>
            <w:pPr>
              <w:pStyle w:val="66"/>
            </w:pPr>
            <w:r>
              <w:t>1.75</w:t>
            </w:r>
          </w:p>
        </w:tc>
        <w:tc>
          <w:tcPr>
            <w:tcW w:w="717" w:type="dxa"/>
            <w:noWrap/>
            <w:vAlign w:val="center"/>
          </w:tcPr>
          <w:p>
            <w:pPr>
              <w:pStyle w:val="66"/>
            </w:pPr>
            <w:r>
              <w:t>0.09</w:t>
            </w:r>
          </w:p>
        </w:tc>
        <w:tc>
          <w:tcPr>
            <w:tcW w:w="627" w:type="dxa"/>
            <w:noWrap/>
            <w:vAlign w:val="center"/>
          </w:tcPr>
          <w:p>
            <w:pPr>
              <w:pStyle w:val="66"/>
            </w:pPr>
            <w:r>
              <w:t>0.06</w:t>
            </w:r>
          </w:p>
        </w:tc>
        <w:tc>
          <w:tcPr>
            <w:tcW w:w="781" w:type="dxa"/>
            <w:noWrap/>
            <w:vAlign w:val="center"/>
          </w:tcPr>
          <w:p>
            <w:pPr>
              <w:pStyle w:val="66"/>
            </w:pPr>
            <w:r>
              <w:t>0.76</w:t>
            </w:r>
          </w:p>
        </w:tc>
        <w:tc>
          <w:tcPr>
            <w:tcW w:w="712" w:type="dxa"/>
            <w:noWrap/>
            <w:vAlign w:val="center"/>
          </w:tcPr>
          <w:p>
            <w:pPr>
              <w:pStyle w:val="66"/>
            </w:pPr>
            <w:r>
              <w:t>0.24</w:t>
            </w:r>
          </w:p>
        </w:tc>
        <w:tc>
          <w:tcPr>
            <w:tcW w:w="831" w:type="dxa"/>
            <w:noWrap/>
            <w:vAlign w:val="center"/>
          </w:tcPr>
          <w:p>
            <w:pPr>
              <w:pStyle w:val="66"/>
            </w:pPr>
            <w: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w:t>
            </w:r>
          </w:p>
        </w:tc>
        <w:tc>
          <w:tcPr>
            <w:tcW w:w="937" w:type="dxa"/>
            <w:noWrap/>
            <w:vAlign w:val="center"/>
          </w:tcPr>
          <w:p>
            <w:pPr>
              <w:pStyle w:val="66"/>
            </w:pPr>
            <w:r>
              <w:t>10304</w:t>
            </w:r>
          </w:p>
        </w:tc>
        <w:tc>
          <w:tcPr>
            <w:tcW w:w="2085" w:type="dxa"/>
            <w:noWrap/>
            <w:vAlign w:val="center"/>
          </w:tcPr>
          <w:p>
            <w:pPr>
              <w:pStyle w:val="66"/>
            </w:pPr>
            <w:r>
              <w:t>表土回填</w:t>
            </w:r>
          </w:p>
        </w:tc>
        <w:tc>
          <w:tcPr>
            <w:tcW w:w="709" w:type="dxa"/>
            <w:noWrap/>
            <w:vAlign w:val="center"/>
          </w:tcPr>
          <w:p>
            <w:pPr>
              <w:pStyle w:val="66"/>
            </w:pPr>
            <w:r>
              <w:t>m</w:t>
            </w:r>
            <w:r>
              <w:rPr>
                <w:vertAlign w:val="superscript"/>
              </w:rPr>
              <w:t>3</w:t>
            </w:r>
          </w:p>
        </w:tc>
        <w:tc>
          <w:tcPr>
            <w:tcW w:w="992" w:type="dxa"/>
            <w:noWrap/>
            <w:vAlign w:val="center"/>
          </w:tcPr>
          <w:p>
            <w:pPr>
              <w:pStyle w:val="66"/>
            </w:pPr>
            <w:r>
              <w:t>0.1</w:t>
            </w:r>
          </w:p>
        </w:tc>
        <w:tc>
          <w:tcPr>
            <w:tcW w:w="873" w:type="dxa"/>
            <w:noWrap/>
            <w:vAlign w:val="center"/>
          </w:tcPr>
          <w:p>
            <w:pPr>
              <w:pStyle w:val="66"/>
            </w:pPr>
          </w:p>
        </w:tc>
        <w:tc>
          <w:tcPr>
            <w:tcW w:w="923" w:type="dxa"/>
            <w:noWrap/>
            <w:vAlign w:val="center"/>
          </w:tcPr>
          <w:p>
            <w:pPr>
              <w:pStyle w:val="66"/>
            </w:pPr>
            <w:r>
              <w:t>1.58</w:t>
            </w:r>
          </w:p>
        </w:tc>
        <w:tc>
          <w:tcPr>
            <w:tcW w:w="910" w:type="dxa"/>
            <w:noWrap/>
            <w:vAlign w:val="center"/>
          </w:tcPr>
          <w:p>
            <w:pPr>
              <w:pStyle w:val="66"/>
            </w:pPr>
            <w:r>
              <w:t>1.69</w:t>
            </w:r>
          </w:p>
        </w:tc>
        <w:tc>
          <w:tcPr>
            <w:tcW w:w="744" w:type="dxa"/>
            <w:noWrap/>
            <w:vAlign w:val="center"/>
          </w:tcPr>
          <w:p>
            <w:pPr>
              <w:pStyle w:val="66"/>
            </w:pPr>
            <w:r>
              <w:t>0.06</w:t>
            </w:r>
          </w:p>
        </w:tc>
        <w:tc>
          <w:tcPr>
            <w:tcW w:w="730" w:type="dxa"/>
            <w:noWrap/>
            <w:vAlign w:val="center"/>
          </w:tcPr>
          <w:p>
            <w:pPr>
              <w:pStyle w:val="66"/>
            </w:pPr>
            <w:r>
              <w:t>1.75</w:t>
            </w:r>
          </w:p>
        </w:tc>
        <w:tc>
          <w:tcPr>
            <w:tcW w:w="717" w:type="dxa"/>
            <w:noWrap/>
            <w:vAlign w:val="center"/>
          </w:tcPr>
          <w:p>
            <w:pPr>
              <w:pStyle w:val="66"/>
            </w:pPr>
            <w:r>
              <w:t>0.09</w:t>
            </w:r>
          </w:p>
        </w:tc>
        <w:tc>
          <w:tcPr>
            <w:tcW w:w="627" w:type="dxa"/>
            <w:noWrap/>
            <w:vAlign w:val="center"/>
          </w:tcPr>
          <w:p>
            <w:pPr>
              <w:pStyle w:val="66"/>
            </w:pPr>
            <w:r>
              <w:t>0.06</w:t>
            </w:r>
          </w:p>
        </w:tc>
        <w:tc>
          <w:tcPr>
            <w:tcW w:w="781" w:type="dxa"/>
            <w:noWrap/>
            <w:vAlign w:val="center"/>
          </w:tcPr>
          <w:p>
            <w:pPr>
              <w:pStyle w:val="66"/>
            </w:pPr>
            <w:r>
              <w:t>0.76</w:t>
            </w:r>
          </w:p>
        </w:tc>
        <w:tc>
          <w:tcPr>
            <w:tcW w:w="712" w:type="dxa"/>
            <w:noWrap/>
            <w:vAlign w:val="center"/>
          </w:tcPr>
          <w:p>
            <w:pPr>
              <w:pStyle w:val="66"/>
            </w:pPr>
            <w:r>
              <w:t>0.24</w:t>
            </w:r>
          </w:p>
        </w:tc>
        <w:tc>
          <w:tcPr>
            <w:tcW w:w="831" w:type="dxa"/>
            <w:noWrap/>
            <w:vAlign w:val="center"/>
          </w:tcPr>
          <w:p>
            <w:pPr>
              <w:pStyle w:val="66"/>
            </w:pPr>
            <w: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 xml:space="preserve">2 </w:t>
            </w:r>
          </w:p>
        </w:tc>
        <w:tc>
          <w:tcPr>
            <w:tcW w:w="937" w:type="dxa"/>
            <w:noWrap/>
            <w:vAlign w:val="center"/>
          </w:tcPr>
          <w:p>
            <w:pPr>
              <w:pStyle w:val="66"/>
            </w:pPr>
            <w:r>
              <w:t>-</w:t>
            </w:r>
          </w:p>
        </w:tc>
        <w:tc>
          <w:tcPr>
            <w:tcW w:w="2085" w:type="dxa"/>
            <w:noWrap/>
            <w:vAlign w:val="center"/>
          </w:tcPr>
          <w:p>
            <w:pPr>
              <w:pStyle w:val="66"/>
            </w:pPr>
            <w:r>
              <w:t>平整工程</w:t>
            </w:r>
          </w:p>
        </w:tc>
        <w:tc>
          <w:tcPr>
            <w:tcW w:w="709" w:type="dxa"/>
            <w:noWrap/>
            <w:vAlign w:val="center"/>
          </w:tcPr>
          <w:p>
            <w:pPr>
              <w:pStyle w:val="66"/>
            </w:pPr>
            <w:r>
              <w:t>-</w:t>
            </w:r>
          </w:p>
        </w:tc>
        <w:tc>
          <w:tcPr>
            <w:tcW w:w="992" w:type="dxa"/>
            <w:noWrap/>
            <w:vAlign w:val="center"/>
          </w:tcPr>
          <w:p>
            <w:pPr>
              <w:pStyle w:val="66"/>
            </w:pPr>
          </w:p>
        </w:tc>
        <w:tc>
          <w:tcPr>
            <w:tcW w:w="873" w:type="dxa"/>
            <w:noWrap/>
            <w:vAlign w:val="center"/>
          </w:tcPr>
          <w:p>
            <w:pPr>
              <w:pStyle w:val="66"/>
            </w:pPr>
          </w:p>
        </w:tc>
        <w:tc>
          <w:tcPr>
            <w:tcW w:w="923" w:type="dxa"/>
            <w:noWrap/>
            <w:vAlign w:val="center"/>
          </w:tcPr>
          <w:p>
            <w:pPr>
              <w:pStyle w:val="66"/>
            </w:pPr>
          </w:p>
        </w:tc>
        <w:tc>
          <w:tcPr>
            <w:tcW w:w="910" w:type="dxa"/>
            <w:noWrap/>
            <w:vAlign w:val="center"/>
          </w:tcPr>
          <w:p>
            <w:pPr>
              <w:pStyle w:val="66"/>
            </w:pPr>
          </w:p>
        </w:tc>
        <w:tc>
          <w:tcPr>
            <w:tcW w:w="744" w:type="dxa"/>
            <w:noWrap/>
            <w:vAlign w:val="center"/>
          </w:tcPr>
          <w:p>
            <w:pPr>
              <w:pStyle w:val="66"/>
            </w:pPr>
          </w:p>
        </w:tc>
        <w:tc>
          <w:tcPr>
            <w:tcW w:w="730" w:type="dxa"/>
            <w:noWrap/>
            <w:vAlign w:val="center"/>
          </w:tcPr>
          <w:p>
            <w:pPr>
              <w:pStyle w:val="66"/>
            </w:pPr>
          </w:p>
        </w:tc>
        <w:tc>
          <w:tcPr>
            <w:tcW w:w="717" w:type="dxa"/>
            <w:noWrap/>
            <w:vAlign w:val="center"/>
          </w:tcPr>
          <w:p>
            <w:pPr>
              <w:pStyle w:val="66"/>
            </w:pPr>
          </w:p>
        </w:tc>
        <w:tc>
          <w:tcPr>
            <w:tcW w:w="627" w:type="dxa"/>
            <w:noWrap/>
            <w:vAlign w:val="center"/>
          </w:tcPr>
          <w:p>
            <w:pPr>
              <w:pStyle w:val="66"/>
            </w:pPr>
          </w:p>
        </w:tc>
        <w:tc>
          <w:tcPr>
            <w:tcW w:w="781" w:type="dxa"/>
            <w:noWrap/>
            <w:vAlign w:val="center"/>
          </w:tcPr>
          <w:p>
            <w:pPr>
              <w:pStyle w:val="66"/>
            </w:pPr>
          </w:p>
        </w:tc>
        <w:tc>
          <w:tcPr>
            <w:tcW w:w="712" w:type="dxa"/>
            <w:noWrap/>
            <w:vAlign w:val="center"/>
          </w:tcPr>
          <w:p>
            <w:pPr>
              <w:pStyle w:val="66"/>
            </w:pPr>
          </w:p>
        </w:tc>
        <w:tc>
          <w:tcPr>
            <w:tcW w:w="831" w:type="dxa"/>
            <w:noWrap/>
            <w:vAlign w:val="center"/>
          </w:tcPr>
          <w:p>
            <w:pPr>
              <w:pStyle w:val="6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w:t>
            </w:r>
          </w:p>
        </w:tc>
        <w:tc>
          <w:tcPr>
            <w:tcW w:w="937" w:type="dxa"/>
            <w:noWrap/>
            <w:vAlign w:val="center"/>
          </w:tcPr>
          <w:p>
            <w:pPr>
              <w:pStyle w:val="66"/>
            </w:pPr>
            <w:r>
              <w:t>10303</w:t>
            </w:r>
          </w:p>
        </w:tc>
        <w:tc>
          <w:tcPr>
            <w:tcW w:w="2085" w:type="dxa"/>
            <w:noWrap/>
            <w:vAlign w:val="center"/>
          </w:tcPr>
          <w:p>
            <w:pPr>
              <w:pStyle w:val="66"/>
            </w:pPr>
            <w:r>
              <w:t>场地平整</w:t>
            </w:r>
          </w:p>
        </w:tc>
        <w:tc>
          <w:tcPr>
            <w:tcW w:w="709" w:type="dxa"/>
            <w:noWrap/>
            <w:vAlign w:val="center"/>
          </w:tcPr>
          <w:p>
            <w:pPr>
              <w:pStyle w:val="66"/>
            </w:pPr>
            <w:r>
              <w:t>m</w:t>
            </w:r>
            <w:r>
              <w:rPr>
                <w:vertAlign w:val="superscript"/>
              </w:rPr>
              <w:t>3</w:t>
            </w:r>
          </w:p>
        </w:tc>
        <w:tc>
          <w:tcPr>
            <w:tcW w:w="992" w:type="dxa"/>
            <w:noWrap/>
            <w:vAlign w:val="center"/>
          </w:tcPr>
          <w:p>
            <w:pPr>
              <w:pStyle w:val="66"/>
            </w:pPr>
            <w:r>
              <w:t>0.1</w:t>
            </w:r>
          </w:p>
        </w:tc>
        <w:tc>
          <w:tcPr>
            <w:tcW w:w="873" w:type="dxa"/>
            <w:noWrap/>
            <w:vAlign w:val="center"/>
          </w:tcPr>
          <w:p>
            <w:pPr>
              <w:pStyle w:val="66"/>
            </w:pPr>
          </w:p>
        </w:tc>
        <w:tc>
          <w:tcPr>
            <w:tcW w:w="923" w:type="dxa"/>
            <w:noWrap/>
            <w:vAlign w:val="center"/>
          </w:tcPr>
          <w:p>
            <w:pPr>
              <w:pStyle w:val="66"/>
            </w:pPr>
            <w:r>
              <w:t>1.23</w:t>
            </w:r>
          </w:p>
        </w:tc>
        <w:tc>
          <w:tcPr>
            <w:tcW w:w="910" w:type="dxa"/>
            <w:noWrap/>
            <w:vAlign w:val="center"/>
          </w:tcPr>
          <w:p>
            <w:pPr>
              <w:pStyle w:val="66"/>
            </w:pPr>
            <w:r>
              <w:t>1.33</w:t>
            </w:r>
          </w:p>
        </w:tc>
        <w:tc>
          <w:tcPr>
            <w:tcW w:w="744" w:type="dxa"/>
            <w:noWrap/>
            <w:vAlign w:val="center"/>
          </w:tcPr>
          <w:p>
            <w:pPr>
              <w:pStyle w:val="66"/>
            </w:pPr>
            <w:r>
              <w:t>0.05</w:t>
            </w:r>
          </w:p>
        </w:tc>
        <w:tc>
          <w:tcPr>
            <w:tcW w:w="730" w:type="dxa"/>
            <w:noWrap/>
            <w:vAlign w:val="center"/>
          </w:tcPr>
          <w:p>
            <w:pPr>
              <w:pStyle w:val="66"/>
            </w:pPr>
            <w:r>
              <w:t>1.38</w:t>
            </w:r>
          </w:p>
        </w:tc>
        <w:tc>
          <w:tcPr>
            <w:tcW w:w="717" w:type="dxa"/>
            <w:noWrap/>
            <w:vAlign w:val="center"/>
          </w:tcPr>
          <w:p>
            <w:pPr>
              <w:pStyle w:val="66"/>
            </w:pPr>
            <w:r>
              <w:t>0.07</w:t>
            </w:r>
          </w:p>
        </w:tc>
        <w:tc>
          <w:tcPr>
            <w:tcW w:w="627" w:type="dxa"/>
            <w:noWrap/>
            <w:vAlign w:val="center"/>
          </w:tcPr>
          <w:p>
            <w:pPr>
              <w:pStyle w:val="66"/>
            </w:pPr>
            <w:r>
              <w:t>0.04</w:t>
            </w:r>
          </w:p>
        </w:tc>
        <w:tc>
          <w:tcPr>
            <w:tcW w:w="781" w:type="dxa"/>
            <w:noWrap/>
            <w:vAlign w:val="center"/>
          </w:tcPr>
          <w:p>
            <w:pPr>
              <w:pStyle w:val="66"/>
            </w:pPr>
            <w:r>
              <w:t>0.59</w:t>
            </w:r>
          </w:p>
        </w:tc>
        <w:tc>
          <w:tcPr>
            <w:tcW w:w="712" w:type="dxa"/>
            <w:noWrap/>
            <w:vAlign w:val="center"/>
          </w:tcPr>
          <w:p>
            <w:pPr>
              <w:pStyle w:val="66"/>
            </w:pPr>
            <w:r>
              <w:t>0.19</w:t>
            </w:r>
          </w:p>
        </w:tc>
        <w:tc>
          <w:tcPr>
            <w:tcW w:w="831" w:type="dxa"/>
            <w:noWrap/>
            <w:vAlign w:val="center"/>
          </w:tcPr>
          <w:p>
            <w:pPr>
              <w:pStyle w:val="66"/>
            </w:pPr>
            <w: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（二）</w:t>
            </w:r>
          </w:p>
        </w:tc>
        <w:tc>
          <w:tcPr>
            <w:tcW w:w="937" w:type="dxa"/>
            <w:noWrap/>
            <w:vAlign w:val="center"/>
          </w:tcPr>
          <w:p>
            <w:pPr>
              <w:pStyle w:val="66"/>
            </w:pPr>
            <w:r>
              <w:t>-</w:t>
            </w:r>
          </w:p>
        </w:tc>
        <w:tc>
          <w:tcPr>
            <w:tcW w:w="2085" w:type="dxa"/>
            <w:noWrap/>
            <w:vAlign w:val="center"/>
          </w:tcPr>
          <w:p>
            <w:pPr>
              <w:pStyle w:val="66"/>
            </w:pPr>
            <w:r>
              <w:t>迹地清理工程</w:t>
            </w:r>
          </w:p>
        </w:tc>
        <w:tc>
          <w:tcPr>
            <w:tcW w:w="709" w:type="dxa"/>
            <w:noWrap/>
            <w:vAlign w:val="center"/>
          </w:tcPr>
          <w:p>
            <w:pPr>
              <w:pStyle w:val="66"/>
            </w:pPr>
            <w:r>
              <w:t>-</w:t>
            </w:r>
          </w:p>
        </w:tc>
        <w:tc>
          <w:tcPr>
            <w:tcW w:w="992" w:type="dxa"/>
            <w:noWrap/>
            <w:vAlign w:val="center"/>
          </w:tcPr>
          <w:p>
            <w:pPr>
              <w:pStyle w:val="66"/>
            </w:pPr>
          </w:p>
        </w:tc>
        <w:tc>
          <w:tcPr>
            <w:tcW w:w="873" w:type="dxa"/>
            <w:noWrap/>
            <w:vAlign w:val="center"/>
          </w:tcPr>
          <w:p>
            <w:pPr>
              <w:pStyle w:val="66"/>
            </w:pPr>
          </w:p>
        </w:tc>
        <w:tc>
          <w:tcPr>
            <w:tcW w:w="923" w:type="dxa"/>
            <w:noWrap/>
            <w:vAlign w:val="center"/>
          </w:tcPr>
          <w:p>
            <w:pPr>
              <w:pStyle w:val="66"/>
            </w:pPr>
          </w:p>
        </w:tc>
        <w:tc>
          <w:tcPr>
            <w:tcW w:w="910" w:type="dxa"/>
            <w:noWrap/>
            <w:vAlign w:val="center"/>
          </w:tcPr>
          <w:p>
            <w:pPr>
              <w:pStyle w:val="66"/>
            </w:pPr>
          </w:p>
        </w:tc>
        <w:tc>
          <w:tcPr>
            <w:tcW w:w="744" w:type="dxa"/>
            <w:noWrap/>
            <w:vAlign w:val="center"/>
          </w:tcPr>
          <w:p>
            <w:pPr>
              <w:pStyle w:val="66"/>
            </w:pPr>
          </w:p>
        </w:tc>
        <w:tc>
          <w:tcPr>
            <w:tcW w:w="730" w:type="dxa"/>
            <w:noWrap/>
            <w:vAlign w:val="center"/>
          </w:tcPr>
          <w:p>
            <w:pPr>
              <w:pStyle w:val="66"/>
            </w:pPr>
          </w:p>
        </w:tc>
        <w:tc>
          <w:tcPr>
            <w:tcW w:w="717" w:type="dxa"/>
            <w:noWrap/>
            <w:vAlign w:val="center"/>
          </w:tcPr>
          <w:p>
            <w:pPr>
              <w:pStyle w:val="66"/>
            </w:pPr>
          </w:p>
        </w:tc>
        <w:tc>
          <w:tcPr>
            <w:tcW w:w="627" w:type="dxa"/>
            <w:noWrap/>
            <w:vAlign w:val="center"/>
          </w:tcPr>
          <w:p>
            <w:pPr>
              <w:pStyle w:val="66"/>
            </w:pPr>
          </w:p>
        </w:tc>
        <w:tc>
          <w:tcPr>
            <w:tcW w:w="781" w:type="dxa"/>
            <w:noWrap/>
            <w:vAlign w:val="center"/>
          </w:tcPr>
          <w:p>
            <w:pPr>
              <w:pStyle w:val="66"/>
            </w:pPr>
          </w:p>
        </w:tc>
        <w:tc>
          <w:tcPr>
            <w:tcW w:w="712" w:type="dxa"/>
            <w:noWrap/>
            <w:vAlign w:val="center"/>
          </w:tcPr>
          <w:p>
            <w:pPr>
              <w:pStyle w:val="66"/>
            </w:pPr>
          </w:p>
        </w:tc>
        <w:tc>
          <w:tcPr>
            <w:tcW w:w="831" w:type="dxa"/>
            <w:noWrap/>
            <w:vAlign w:val="center"/>
          </w:tcPr>
          <w:p>
            <w:pPr>
              <w:pStyle w:val="6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1</w:t>
            </w:r>
          </w:p>
        </w:tc>
        <w:tc>
          <w:tcPr>
            <w:tcW w:w="937" w:type="dxa"/>
            <w:noWrap/>
            <w:vAlign w:val="center"/>
          </w:tcPr>
          <w:p>
            <w:pPr>
              <w:pStyle w:val="66"/>
            </w:pPr>
            <w:r>
              <w:t>10205</w:t>
            </w:r>
          </w:p>
        </w:tc>
        <w:tc>
          <w:tcPr>
            <w:tcW w:w="2085" w:type="dxa"/>
            <w:noWrap/>
            <w:vAlign w:val="center"/>
          </w:tcPr>
          <w:p>
            <w:pPr>
              <w:pStyle w:val="66"/>
            </w:pPr>
            <w:r>
              <w:t>砂砾石路面拆除</w:t>
            </w:r>
          </w:p>
        </w:tc>
        <w:tc>
          <w:tcPr>
            <w:tcW w:w="709" w:type="dxa"/>
            <w:noWrap/>
            <w:vAlign w:val="center"/>
          </w:tcPr>
          <w:p>
            <w:pPr>
              <w:pStyle w:val="66"/>
            </w:pPr>
            <w:r>
              <w:t>m</w:t>
            </w:r>
            <w:r>
              <w:rPr>
                <w:vertAlign w:val="superscript"/>
              </w:rPr>
              <w:t>3</w:t>
            </w:r>
          </w:p>
        </w:tc>
        <w:tc>
          <w:tcPr>
            <w:tcW w:w="992" w:type="dxa"/>
            <w:noWrap/>
            <w:vAlign w:val="center"/>
          </w:tcPr>
          <w:p>
            <w:pPr>
              <w:pStyle w:val="66"/>
            </w:pPr>
            <w:r>
              <w:t>0.39</w:t>
            </w:r>
          </w:p>
        </w:tc>
        <w:tc>
          <w:tcPr>
            <w:tcW w:w="873" w:type="dxa"/>
            <w:noWrap/>
            <w:vAlign w:val="center"/>
          </w:tcPr>
          <w:p>
            <w:pPr>
              <w:pStyle w:val="66"/>
            </w:pPr>
          </w:p>
        </w:tc>
        <w:tc>
          <w:tcPr>
            <w:tcW w:w="923" w:type="dxa"/>
            <w:noWrap/>
            <w:vAlign w:val="center"/>
          </w:tcPr>
          <w:p>
            <w:pPr>
              <w:pStyle w:val="66"/>
            </w:pPr>
            <w:r>
              <w:t>1.73</w:t>
            </w:r>
          </w:p>
        </w:tc>
        <w:tc>
          <w:tcPr>
            <w:tcW w:w="910" w:type="dxa"/>
            <w:noWrap/>
            <w:vAlign w:val="center"/>
          </w:tcPr>
          <w:p>
            <w:pPr>
              <w:pStyle w:val="66"/>
            </w:pPr>
            <w:r>
              <w:t>2.12</w:t>
            </w:r>
          </w:p>
        </w:tc>
        <w:tc>
          <w:tcPr>
            <w:tcW w:w="744" w:type="dxa"/>
            <w:noWrap/>
            <w:vAlign w:val="center"/>
          </w:tcPr>
          <w:p>
            <w:pPr>
              <w:pStyle w:val="66"/>
            </w:pPr>
            <w:r>
              <w:t>0.08</w:t>
            </w:r>
          </w:p>
        </w:tc>
        <w:tc>
          <w:tcPr>
            <w:tcW w:w="730" w:type="dxa"/>
            <w:noWrap/>
            <w:vAlign w:val="center"/>
          </w:tcPr>
          <w:p>
            <w:pPr>
              <w:pStyle w:val="66"/>
            </w:pPr>
            <w:r>
              <w:t>2.2</w:t>
            </w:r>
          </w:p>
        </w:tc>
        <w:tc>
          <w:tcPr>
            <w:tcW w:w="717" w:type="dxa"/>
            <w:noWrap/>
            <w:vAlign w:val="center"/>
          </w:tcPr>
          <w:p>
            <w:pPr>
              <w:pStyle w:val="66"/>
            </w:pPr>
            <w:r>
              <w:t>0.11</w:t>
            </w:r>
          </w:p>
        </w:tc>
        <w:tc>
          <w:tcPr>
            <w:tcW w:w="627" w:type="dxa"/>
            <w:noWrap/>
            <w:vAlign w:val="center"/>
          </w:tcPr>
          <w:p>
            <w:pPr>
              <w:pStyle w:val="66"/>
            </w:pPr>
            <w:r>
              <w:t>0.07</w:t>
            </w:r>
          </w:p>
        </w:tc>
        <w:tc>
          <w:tcPr>
            <w:tcW w:w="781" w:type="dxa"/>
            <w:noWrap/>
            <w:vAlign w:val="center"/>
          </w:tcPr>
          <w:p>
            <w:pPr>
              <w:pStyle w:val="66"/>
            </w:pPr>
            <w:r>
              <w:t>0.73</w:t>
            </w:r>
          </w:p>
        </w:tc>
        <w:tc>
          <w:tcPr>
            <w:tcW w:w="712" w:type="dxa"/>
            <w:noWrap/>
            <w:vAlign w:val="center"/>
          </w:tcPr>
          <w:p>
            <w:pPr>
              <w:pStyle w:val="66"/>
            </w:pPr>
            <w:r>
              <w:t>0.27</w:t>
            </w:r>
          </w:p>
        </w:tc>
        <w:tc>
          <w:tcPr>
            <w:tcW w:w="831" w:type="dxa"/>
            <w:noWrap/>
            <w:vAlign w:val="center"/>
          </w:tcPr>
          <w:p>
            <w:pPr>
              <w:pStyle w:val="66"/>
            </w:pPr>
            <w:r>
              <w:t>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2</w:t>
            </w:r>
          </w:p>
        </w:tc>
        <w:tc>
          <w:tcPr>
            <w:tcW w:w="937" w:type="dxa"/>
            <w:noWrap/>
            <w:vAlign w:val="center"/>
          </w:tcPr>
          <w:p>
            <w:pPr>
              <w:pStyle w:val="66"/>
            </w:pPr>
            <w:r>
              <w:t>20341</w:t>
            </w:r>
          </w:p>
        </w:tc>
        <w:tc>
          <w:tcPr>
            <w:tcW w:w="2085" w:type="dxa"/>
            <w:noWrap/>
            <w:vAlign w:val="center"/>
          </w:tcPr>
          <w:p>
            <w:pPr>
              <w:pStyle w:val="66"/>
            </w:pPr>
            <w:r>
              <w:rPr>
                <w:rFonts w:hint="eastAsia"/>
              </w:rPr>
              <w:t>垃圾清运（运石渣9-10km）+26km</w:t>
            </w:r>
          </w:p>
        </w:tc>
        <w:tc>
          <w:tcPr>
            <w:tcW w:w="709" w:type="dxa"/>
            <w:noWrap/>
            <w:vAlign w:val="center"/>
          </w:tcPr>
          <w:p>
            <w:pPr>
              <w:pStyle w:val="66"/>
            </w:pPr>
            <w:r>
              <w:t>m</w:t>
            </w:r>
            <w:r>
              <w:rPr>
                <w:vertAlign w:val="superscript"/>
              </w:rPr>
              <w:t>3</w:t>
            </w:r>
          </w:p>
        </w:tc>
        <w:tc>
          <w:tcPr>
            <w:tcW w:w="992" w:type="dxa"/>
            <w:noWrap/>
            <w:vAlign w:val="center"/>
          </w:tcPr>
          <w:p>
            <w:pPr>
              <w:pStyle w:val="66"/>
            </w:pPr>
            <w:r>
              <w:t>0.84</w:t>
            </w:r>
          </w:p>
        </w:tc>
        <w:tc>
          <w:tcPr>
            <w:tcW w:w="873" w:type="dxa"/>
            <w:noWrap/>
            <w:vAlign w:val="center"/>
          </w:tcPr>
          <w:p>
            <w:pPr>
              <w:pStyle w:val="66"/>
            </w:pPr>
          </w:p>
        </w:tc>
        <w:tc>
          <w:tcPr>
            <w:tcW w:w="923" w:type="dxa"/>
            <w:noWrap/>
            <w:vAlign w:val="center"/>
          </w:tcPr>
          <w:p>
            <w:pPr>
              <w:pStyle w:val="66"/>
            </w:pPr>
            <w:r>
              <w:t>55.75</w:t>
            </w:r>
          </w:p>
        </w:tc>
        <w:tc>
          <w:tcPr>
            <w:tcW w:w="910" w:type="dxa"/>
            <w:noWrap/>
            <w:vAlign w:val="center"/>
          </w:tcPr>
          <w:p>
            <w:pPr>
              <w:pStyle w:val="66"/>
            </w:pPr>
            <w:r>
              <w:t>56.59</w:t>
            </w:r>
          </w:p>
        </w:tc>
        <w:tc>
          <w:tcPr>
            <w:tcW w:w="744" w:type="dxa"/>
            <w:noWrap/>
            <w:vAlign w:val="center"/>
          </w:tcPr>
          <w:p>
            <w:pPr>
              <w:pStyle w:val="66"/>
            </w:pPr>
            <w:r>
              <w:t>0.76</w:t>
            </w:r>
          </w:p>
        </w:tc>
        <w:tc>
          <w:tcPr>
            <w:tcW w:w="730" w:type="dxa"/>
            <w:noWrap/>
            <w:vAlign w:val="center"/>
          </w:tcPr>
          <w:p>
            <w:pPr>
              <w:pStyle w:val="66"/>
            </w:pPr>
            <w:r>
              <w:t>57.35</w:t>
            </w:r>
          </w:p>
        </w:tc>
        <w:tc>
          <w:tcPr>
            <w:tcW w:w="717" w:type="dxa"/>
            <w:noWrap/>
            <w:vAlign w:val="center"/>
          </w:tcPr>
          <w:p>
            <w:pPr>
              <w:pStyle w:val="66"/>
            </w:pPr>
            <w:r>
              <w:t>2.87</w:t>
            </w:r>
          </w:p>
        </w:tc>
        <w:tc>
          <w:tcPr>
            <w:tcW w:w="627" w:type="dxa"/>
            <w:noWrap/>
            <w:vAlign w:val="center"/>
          </w:tcPr>
          <w:p>
            <w:pPr>
              <w:pStyle w:val="66"/>
            </w:pPr>
            <w:r>
              <w:t>1.81</w:t>
            </w:r>
          </w:p>
        </w:tc>
        <w:tc>
          <w:tcPr>
            <w:tcW w:w="781" w:type="dxa"/>
            <w:noWrap/>
            <w:vAlign w:val="center"/>
          </w:tcPr>
          <w:p>
            <w:pPr>
              <w:pStyle w:val="66"/>
            </w:pPr>
            <w:r>
              <w:t>10.14</w:t>
            </w:r>
          </w:p>
        </w:tc>
        <w:tc>
          <w:tcPr>
            <w:tcW w:w="712" w:type="dxa"/>
            <w:noWrap/>
            <w:vAlign w:val="center"/>
          </w:tcPr>
          <w:p>
            <w:pPr>
              <w:pStyle w:val="66"/>
            </w:pPr>
            <w:r>
              <w:t>6.62</w:t>
            </w:r>
          </w:p>
        </w:tc>
        <w:tc>
          <w:tcPr>
            <w:tcW w:w="831" w:type="dxa"/>
            <w:noWrap/>
            <w:vAlign w:val="center"/>
          </w:tcPr>
          <w:p>
            <w:pPr>
              <w:pStyle w:val="66"/>
            </w:pPr>
            <w:r>
              <w:t>80.17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（三）</w:t>
            </w:r>
          </w:p>
        </w:tc>
        <w:tc>
          <w:tcPr>
            <w:tcW w:w="937" w:type="dxa"/>
            <w:noWrap/>
            <w:vAlign w:val="center"/>
          </w:tcPr>
          <w:p>
            <w:pPr>
              <w:pStyle w:val="66"/>
            </w:pPr>
            <w:r>
              <w:t>-</w:t>
            </w:r>
          </w:p>
        </w:tc>
        <w:tc>
          <w:tcPr>
            <w:tcW w:w="2085" w:type="dxa"/>
            <w:noWrap/>
            <w:vAlign w:val="center"/>
          </w:tcPr>
          <w:p>
            <w:pPr>
              <w:pStyle w:val="66"/>
            </w:pPr>
            <w:r>
              <w:t>植被重建工程</w:t>
            </w:r>
          </w:p>
        </w:tc>
        <w:tc>
          <w:tcPr>
            <w:tcW w:w="709" w:type="dxa"/>
            <w:noWrap/>
            <w:vAlign w:val="center"/>
          </w:tcPr>
          <w:p>
            <w:pPr>
              <w:pStyle w:val="66"/>
            </w:pPr>
            <w:r>
              <w:t>-</w:t>
            </w:r>
          </w:p>
        </w:tc>
        <w:tc>
          <w:tcPr>
            <w:tcW w:w="992" w:type="dxa"/>
            <w:noWrap/>
            <w:vAlign w:val="center"/>
          </w:tcPr>
          <w:p>
            <w:pPr>
              <w:pStyle w:val="66"/>
            </w:pPr>
          </w:p>
        </w:tc>
        <w:tc>
          <w:tcPr>
            <w:tcW w:w="873" w:type="dxa"/>
            <w:noWrap/>
            <w:vAlign w:val="center"/>
          </w:tcPr>
          <w:p>
            <w:pPr>
              <w:pStyle w:val="66"/>
            </w:pPr>
          </w:p>
        </w:tc>
        <w:tc>
          <w:tcPr>
            <w:tcW w:w="923" w:type="dxa"/>
            <w:noWrap/>
            <w:vAlign w:val="center"/>
          </w:tcPr>
          <w:p>
            <w:pPr>
              <w:pStyle w:val="66"/>
            </w:pPr>
          </w:p>
        </w:tc>
        <w:tc>
          <w:tcPr>
            <w:tcW w:w="910" w:type="dxa"/>
            <w:noWrap/>
            <w:vAlign w:val="center"/>
          </w:tcPr>
          <w:p>
            <w:pPr>
              <w:pStyle w:val="66"/>
            </w:pPr>
          </w:p>
        </w:tc>
        <w:tc>
          <w:tcPr>
            <w:tcW w:w="744" w:type="dxa"/>
            <w:noWrap/>
            <w:vAlign w:val="center"/>
          </w:tcPr>
          <w:p>
            <w:pPr>
              <w:pStyle w:val="66"/>
            </w:pPr>
          </w:p>
        </w:tc>
        <w:tc>
          <w:tcPr>
            <w:tcW w:w="730" w:type="dxa"/>
            <w:noWrap/>
            <w:vAlign w:val="center"/>
          </w:tcPr>
          <w:p>
            <w:pPr>
              <w:pStyle w:val="66"/>
            </w:pPr>
          </w:p>
        </w:tc>
        <w:tc>
          <w:tcPr>
            <w:tcW w:w="717" w:type="dxa"/>
            <w:noWrap/>
            <w:vAlign w:val="center"/>
          </w:tcPr>
          <w:p>
            <w:pPr>
              <w:pStyle w:val="66"/>
            </w:pPr>
          </w:p>
        </w:tc>
        <w:tc>
          <w:tcPr>
            <w:tcW w:w="627" w:type="dxa"/>
            <w:noWrap/>
            <w:vAlign w:val="center"/>
          </w:tcPr>
          <w:p>
            <w:pPr>
              <w:pStyle w:val="66"/>
            </w:pPr>
          </w:p>
        </w:tc>
        <w:tc>
          <w:tcPr>
            <w:tcW w:w="781" w:type="dxa"/>
            <w:noWrap/>
            <w:vAlign w:val="center"/>
          </w:tcPr>
          <w:p>
            <w:pPr>
              <w:pStyle w:val="66"/>
            </w:pPr>
          </w:p>
        </w:tc>
        <w:tc>
          <w:tcPr>
            <w:tcW w:w="712" w:type="dxa"/>
            <w:noWrap/>
            <w:vAlign w:val="center"/>
          </w:tcPr>
          <w:p>
            <w:pPr>
              <w:pStyle w:val="66"/>
            </w:pPr>
          </w:p>
        </w:tc>
        <w:tc>
          <w:tcPr>
            <w:tcW w:w="831" w:type="dxa"/>
            <w:noWrap/>
            <w:vAlign w:val="center"/>
          </w:tcPr>
          <w:p>
            <w:pPr>
              <w:pStyle w:val="6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1</w:t>
            </w:r>
          </w:p>
        </w:tc>
        <w:tc>
          <w:tcPr>
            <w:tcW w:w="937" w:type="dxa"/>
            <w:noWrap/>
            <w:vAlign w:val="center"/>
          </w:tcPr>
          <w:p>
            <w:pPr>
              <w:pStyle w:val="66"/>
            </w:pPr>
            <w:r>
              <w:t>90013</w:t>
            </w:r>
          </w:p>
        </w:tc>
        <w:tc>
          <w:tcPr>
            <w:tcW w:w="2085" w:type="dxa"/>
            <w:noWrap/>
            <w:vAlign w:val="center"/>
          </w:tcPr>
          <w:p>
            <w:pPr>
              <w:pStyle w:val="66"/>
            </w:pPr>
            <w:r>
              <w:t>栽植灌木-（红柳、梭梭）</w:t>
            </w:r>
          </w:p>
        </w:tc>
        <w:tc>
          <w:tcPr>
            <w:tcW w:w="709" w:type="dxa"/>
            <w:noWrap/>
            <w:vAlign w:val="center"/>
          </w:tcPr>
          <w:p>
            <w:pPr>
              <w:pStyle w:val="66"/>
            </w:pPr>
            <w:r>
              <w:t>株</w:t>
            </w:r>
          </w:p>
        </w:tc>
        <w:tc>
          <w:tcPr>
            <w:tcW w:w="992" w:type="dxa"/>
            <w:noWrap/>
            <w:vAlign w:val="center"/>
          </w:tcPr>
          <w:p>
            <w:pPr>
              <w:pStyle w:val="66"/>
            </w:pPr>
            <w:r>
              <w:t>1.66</w:t>
            </w:r>
          </w:p>
        </w:tc>
        <w:tc>
          <w:tcPr>
            <w:tcW w:w="873" w:type="dxa"/>
            <w:noWrap/>
            <w:vAlign w:val="center"/>
          </w:tcPr>
          <w:p>
            <w:pPr>
              <w:pStyle w:val="66"/>
            </w:pPr>
            <w:r>
              <w:t>1.59</w:t>
            </w:r>
          </w:p>
        </w:tc>
        <w:tc>
          <w:tcPr>
            <w:tcW w:w="923" w:type="dxa"/>
            <w:noWrap/>
            <w:vAlign w:val="center"/>
          </w:tcPr>
          <w:p>
            <w:pPr>
              <w:pStyle w:val="66"/>
            </w:pPr>
          </w:p>
        </w:tc>
        <w:tc>
          <w:tcPr>
            <w:tcW w:w="910" w:type="dxa"/>
            <w:noWrap/>
            <w:vAlign w:val="center"/>
          </w:tcPr>
          <w:p>
            <w:pPr>
              <w:pStyle w:val="66"/>
            </w:pPr>
            <w:r>
              <w:t>3.25</w:t>
            </w:r>
          </w:p>
        </w:tc>
        <w:tc>
          <w:tcPr>
            <w:tcW w:w="744" w:type="dxa"/>
            <w:noWrap/>
            <w:vAlign w:val="center"/>
          </w:tcPr>
          <w:p>
            <w:pPr>
              <w:pStyle w:val="66"/>
            </w:pPr>
            <w:r>
              <w:t>0.12</w:t>
            </w:r>
          </w:p>
        </w:tc>
        <w:tc>
          <w:tcPr>
            <w:tcW w:w="730" w:type="dxa"/>
            <w:noWrap/>
            <w:vAlign w:val="center"/>
          </w:tcPr>
          <w:p>
            <w:pPr>
              <w:pStyle w:val="66"/>
            </w:pPr>
            <w:r>
              <w:t>3.37</w:t>
            </w:r>
          </w:p>
        </w:tc>
        <w:tc>
          <w:tcPr>
            <w:tcW w:w="717" w:type="dxa"/>
            <w:noWrap/>
            <w:vAlign w:val="center"/>
          </w:tcPr>
          <w:p>
            <w:pPr>
              <w:pStyle w:val="66"/>
            </w:pPr>
            <w:r>
              <w:t>0.17</w:t>
            </w:r>
          </w:p>
        </w:tc>
        <w:tc>
          <w:tcPr>
            <w:tcW w:w="627" w:type="dxa"/>
            <w:noWrap/>
            <w:vAlign w:val="center"/>
          </w:tcPr>
          <w:p>
            <w:pPr>
              <w:pStyle w:val="66"/>
            </w:pPr>
            <w:r>
              <w:t>0.11</w:t>
            </w:r>
          </w:p>
        </w:tc>
        <w:tc>
          <w:tcPr>
            <w:tcW w:w="781" w:type="dxa"/>
            <w:noWrap/>
            <w:vAlign w:val="center"/>
          </w:tcPr>
          <w:p>
            <w:pPr>
              <w:pStyle w:val="66"/>
            </w:pPr>
          </w:p>
        </w:tc>
        <w:tc>
          <w:tcPr>
            <w:tcW w:w="712" w:type="dxa"/>
            <w:noWrap/>
            <w:vAlign w:val="center"/>
          </w:tcPr>
          <w:p>
            <w:pPr>
              <w:pStyle w:val="66"/>
            </w:pPr>
            <w:r>
              <w:t>0.33</w:t>
            </w:r>
          </w:p>
        </w:tc>
        <w:tc>
          <w:tcPr>
            <w:tcW w:w="831" w:type="dxa"/>
            <w:noWrap/>
            <w:vAlign w:val="center"/>
          </w:tcPr>
          <w:p>
            <w:pPr>
              <w:pStyle w:val="66"/>
            </w:pPr>
            <w:r>
              <w:t>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2</w:t>
            </w:r>
          </w:p>
        </w:tc>
        <w:tc>
          <w:tcPr>
            <w:tcW w:w="937" w:type="dxa"/>
            <w:noWrap/>
            <w:vAlign w:val="center"/>
          </w:tcPr>
          <w:p>
            <w:pPr>
              <w:pStyle w:val="66"/>
            </w:pPr>
            <w:r>
              <w:t>90030</w:t>
            </w:r>
          </w:p>
        </w:tc>
        <w:tc>
          <w:tcPr>
            <w:tcW w:w="2085" w:type="dxa"/>
            <w:noWrap/>
            <w:vAlign w:val="center"/>
          </w:tcPr>
          <w:p>
            <w:pPr>
              <w:pStyle w:val="66"/>
            </w:pPr>
            <w:r>
              <w:t>撒播草籽(芨芨草、骆驼刺、盐爪爪)</w:t>
            </w:r>
          </w:p>
        </w:tc>
        <w:tc>
          <w:tcPr>
            <w:tcW w:w="709" w:type="dxa"/>
            <w:noWrap/>
            <w:vAlign w:val="center"/>
          </w:tcPr>
          <w:p>
            <w:pPr>
              <w:pStyle w:val="66"/>
            </w:pPr>
            <w:r>
              <w:t>hm</w:t>
            </w:r>
            <w:r>
              <w:rPr>
                <w:vertAlign w:val="superscript"/>
              </w:rPr>
              <w:t>2</w:t>
            </w:r>
          </w:p>
        </w:tc>
        <w:tc>
          <w:tcPr>
            <w:tcW w:w="992" w:type="dxa"/>
            <w:noWrap/>
            <w:vAlign w:val="center"/>
          </w:tcPr>
          <w:p>
            <w:pPr>
              <w:pStyle w:val="66"/>
            </w:pPr>
            <w:r>
              <w:t>104</w:t>
            </w:r>
          </w:p>
        </w:tc>
        <w:tc>
          <w:tcPr>
            <w:tcW w:w="873" w:type="dxa"/>
            <w:noWrap/>
            <w:vAlign w:val="center"/>
          </w:tcPr>
          <w:p>
            <w:pPr>
              <w:pStyle w:val="66"/>
            </w:pPr>
            <w:r>
              <w:t>2007.97</w:t>
            </w:r>
          </w:p>
        </w:tc>
        <w:tc>
          <w:tcPr>
            <w:tcW w:w="923" w:type="dxa"/>
            <w:noWrap/>
            <w:vAlign w:val="center"/>
          </w:tcPr>
          <w:p>
            <w:pPr>
              <w:pStyle w:val="66"/>
            </w:pPr>
          </w:p>
        </w:tc>
        <w:tc>
          <w:tcPr>
            <w:tcW w:w="910" w:type="dxa"/>
            <w:noWrap/>
            <w:vAlign w:val="center"/>
          </w:tcPr>
          <w:p>
            <w:pPr>
              <w:pStyle w:val="66"/>
            </w:pPr>
            <w:r>
              <w:t>2111.97</w:t>
            </w:r>
          </w:p>
        </w:tc>
        <w:tc>
          <w:tcPr>
            <w:tcW w:w="744" w:type="dxa"/>
            <w:noWrap/>
            <w:vAlign w:val="center"/>
          </w:tcPr>
          <w:p>
            <w:pPr>
              <w:pStyle w:val="66"/>
            </w:pPr>
            <w:r>
              <w:t>76.03</w:t>
            </w:r>
          </w:p>
        </w:tc>
        <w:tc>
          <w:tcPr>
            <w:tcW w:w="730" w:type="dxa"/>
            <w:noWrap/>
            <w:vAlign w:val="center"/>
          </w:tcPr>
          <w:p>
            <w:pPr>
              <w:pStyle w:val="66"/>
            </w:pPr>
            <w:r>
              <w:t>2188</w:t>
            </w:r>
          </w:p>
        </w:tc>
        <w:tc>
          <w:tcPr>
            <w:tcW w:w="717" w:type="dxa"/>
            <w:noWrap/>
            <w:vAlign w:val="center"/>
          </w:tcPr>
          <w:p>
            <w:pPr>
              <w:pStyle w:val="66"/>
            </w:pPr>
            <w:r>
              <w:t>109.4</w:t>
            </w:r>
          </w:p>
        </w:tc>
        <w:tc>
          <w:tcPr>
            <w:tcW w:w="627" w:type="dxa"/>
            <w:noWrap/>
            <w:vAlign w:val="center"/>
          </w:tcPr>
          <w:p>
            <w:pPr>
              <w:pStyle w:val="66"/>
            </w:pPr>
            <w:r>
              <w:t>68.92</w:t>
            </w:r>
          </w:p>
        </w:tc>
        <w:tc>
          <w:tcPr>
            <w:tcW w:w="781" w:type="dxa"/>
            <w:noWrap/>
            <w:vAlign w:val="center"/>
          </w:tcPr>
          <w:p>
            <w:pPr>
              <w:pStyle w:val="66"/>
            </w:pPr>
          </w:p>
        </w:tc>
        <w:tc>
          <w:tcPr>
            <w:tcW w:w="712" w:type="dxa"/>
            <w:noWrap/>
            <w:vAlign w:val="center"/>
          </w:tcPr>
          <w:p>
            <w:pPr>
              <w:pStyle w:val="66"/>
            </w:pPr>
            <w:r>
              <w:t>212.97</w:t>
            </w:r>
          </w:p>
        </w:tc>
        <w:tc>
          <w:tcPr>
            <w:tcW w:w="831" w:type="dxa"/>
            <w:noWrap/>
            <w:vAlign w:val="center"/>
          </w:tcPr>
          <w:p>
            <w:pPr>
              <w:pStyle w:val="66"/>
            </w:pPr>
            <w:r>
              <w:t>2579.29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3</w:t>
            </w:r>
          </w:p>
        </w:tc>
        <w:tc>
          <w:tcPr>
            <w:tcW w:w="937" w:type="dxa"/>
            <w:noWrap/>
            <w:vAlign w:val="center"/>
          </w:tcPr>
          <w:p>
            <w:pPr>
              <w:pStyle w:val="66"/>
            </w:pPr>
            <w:r>
              <w:t>补001</w:t>
            </w:r>
          </w:p>
        </w:tc>
        <w:tc>
          <w:tcPr>
            <w:tcW w:w="2085" w:type="dxa"/>
            <w:noWrap/>
            <w:vAlign w:val="center"/>
          </w:tcPr>
          <w:p>
            <w:pPr>
              <w:pStyle w:val="66"/>
            </w:pPr>
            <w:r>
              <w:t>土壤配肥</w:t>
            </w:r>
          </w:p>
        </w:tc>
        <w:tc>
          <w:tcPr>
            <w:tcW w:w="709" w:type="dxa"/>
            <w:noWrap/>
            <w:vAlign w:val="center"/>
          </w:tcPr>
          <w:p>
            <w:pPr>
              <w:pStyle w:val="66"/>
            </w:pPr>
            <w:r>
              <w:t>t</w:t>
            </w:r>
          </w:p>
        </w:tc>
        <w:tc>
          <w:tcPr>
            <w:tcW w:w="992" w:type="dxa"/>
            <w:noWrap/>
            <w:vAlign w:val="center"/>
          </w:tcPr>
          <w:p>
            <w:pPr>
              <w:pStyle w:val="66"/>
            </w:pPr>
            <w:r>
              <w:t>15.43</w:t>
            </w:r>
          </w:p>
        </w:tc>
        <w:tc>
          <w:tcPr>
            <w:tcW w:w="873" w:type="dxa"/>
            <w:noWrap/>
            <w:vAlign w:val="center"/>
          </w:tcPr>
          <w:p>
            <w:pPr>
              <w:pStyle w:val="66"/>
            </w:pPr>
            <w:r>
              <w:t>563.81</w:t>
            </w:r>
          </w:p>
        </w:tc>
        <w:tc>
          <w:tcPr>
            <w:tcW w:w="923" w:type="dxa"/>
            <w:noWrap/>
            <w:vAlign w:val="center"/>
          </w:tcPr>
          <w:p>
            <w:pPr>
              <w:pStyle w:val="66"/>
            </w:pPr>
            <w:r>
              <w:t>5.18</w:t>
            </w:r>
          </w:p>
        </w:tc>
        <w:tc>
          <w:tcPr>
            <w:tcW w:w="910" w:type="dxa"/>
            <w:noWrap/>
            <w:vAlign w:val="center"/>
          </w:tcPr>
          <w:p>
            <w:pPr>
              <w:pStyle w:val="66"/>
            </w:pPr>
            <w:r>
              <w:t>584.41</w:t>
            </w:r>
          </w:p>
        </w:tc>
        <w:tc>
          <w:tcPr>
            <w:tcW w:w="744" w:type="dxa"/>
            <w:noWrap/>
            <w:vAlign w:val="center"/>
          </w:tcPr>
          <w:p>
            <w:pPr>
              <w:pStyle w:val="66"/>
            </w:pPr>
            <w:r>
              <w:t>21.04</w:t>
            </w:r>
          </w:p>
        </w:tc>
        <w:tc>
          <w:tcPr>
            <w:tcW w:w="730" w:type="dxa"/>
            <w:noWrap/>
            <w:vAlign w:val="center"/>
          </w:tcPr>
          <w:p>
            <w:pPr>
              <w:pStyle w:val="66"/>
            </w:pPr>
            <w:r>
              <w:t>605.45</w:t>
            </w:r>
          </w:p>
        </w:tc>
        <w:tc>
          <w:tcPr>
            <w:tcW w:w="717" w:type="dxa"/>
            <w:noWrap/>
            <w:vAlign w:val="center"/>
          </w:tcPr>
          <w:p>
            <w:pPr>
              <w:pStyle w:val="66"/>
            </w:pPr>
            <w:r>
              <w:t>30.27</w:t>
            </w:r>
          </w:p>
        </w:tc>
        <w:tc>
          <w:tcPr>
            <w:tcW w:w="627" w:type="dxa"/>
            <w:noWrap/>
            <w:vAlign w:val="center"/>
          </w:tcPr>
          <w:p>
            <w:pPr>
              <w:pStyle w:val="66"/>
            </w:pPr>
            <w:r>
              <w:t>19.07</w:t>
            </w:r>
          </w:p>
        </w:tc>
        <w:tc>
          <w:tcPr>
            <w:tcW w:w="781" w:type="dxa"/>
            <w:noWrap/>
            <w:vAlign w:val="center"/>
          </w:tcPr>
          <w:p>
            <w:pPr>
              <w:pStyle w:val="66"/>
            </w:pPr>
            <w:r>
              <w:t>2.36</w:t>
            </w:r>
          </w:p>
        </w:tc>
        <w:tc>
          <w:tcPr>
            <w:tcW w:w="712" w:type="dxa"/>
            <w:noWrap/>
            <w:vAlign w:val="center"/>
          </w:tcPr>
          <w:p>
            <w:pPr>
              <w:pStyle w:val="66"/>
            </w:pPr>
            <w:r>
              <w:t>59.14</w:t>
            </w:r>
          </w:p>
        </w:tc>
        <w:tc>
          <w:tcPr>
            <w:tcW w:w="831" w:type="dxa"/>
            <w:noWrap/>
            <w:vAlign w:val="center"/>
          </w:tcPr>
          <w:p>
            <w:pPr>
              <w:pStyle w:val="66"/>
            </w:pPr>
            <w:r>
              <w:t>716.3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397" w:hRule="atLeast"/>
          <w:jc w:val="center"/>
        </w:trPr>
        <w:tc>
          <w:tcPr>
            <w:tcW w:w="659" w:type="dxa"/>
            <w:noWrap/>
            <w:vAlign w:val="center"/>
          </w:tcPr>
          <w:p>
            <w:pPr>
              <w:pStyle w:val="66"/>
            </w:pPr>
            <w:r>
              <w:t>4</w:t>
            </w:r>
          </w:p>
        </w:tc>
        <w:tc>
          <w:tcPr>
            <w:tcW w:w="937" w:type="dxa"/>
            <w:noWrap/>
            <w:vAlign w:val="center"/>
          </w:tcPr>
          <w:p>
            <w:pPr>
              <w:pStyle w:val="66"/>
            </w:pPr>
            <w:r>
              <w:t>补003</w:t>
            </w:r>
          </w:p>
        </w:tc>
        <w:tc>
          <w:tcPr>
            <w:tcW w:w="2085" w:type="dxa"/>
            <w:noWrap/>
            <w:vAlign w:val="center"/>
          </w:tcPr>
          <w:p>
            <w:pPr>
              <w:pStyle w:val="66"/>
            </w:pPr>
            <w:r>
              <w:t>洒水</w:t>
            </w:r>
          </w:p>
        </w:tc>
        <w:tc>
          <w:tcPr>
            <w:tcW w:w="709" w:type="dxa"/>
            <w:noWrap/>
            <w:vAlign w:val="center"/>
          </w:tcPr>
          <w:p>
            <w:pPr>
              <w:pStyle w:val="66"/>
            </w:pPr>
            <w:r>
              <w:t>hm</w:t>
            </w:r>
            <w:r>
              <w:rPr>
                <w:vertAlign w:val="superscript"/>
              </w:rPr>
              <w:t>2</w:t>
            </w:r>
          </w:p>
        </w:tc>
        <w:tc>
          <w:tcPr>
            <w:tcW w:w="992" w:type="dxa"/>
            <w:noWrap/>
            <w:vAlign w:val="center"/>
          </w:tcPr>
          <w:p>
            <w:pPr>
              <w:pStyle w:val="66"/>
            </w:pPr>
            <w:r>
              <w:t>145.65</w:t>
            </w:r>
          </w:p>
        </w:tc>
        <w:tc>
          <w:tcPr>
            <w:tcW w:w="873" w:type="dxa"/>
            <w:noWrap/>
            <w:vAlign w:val="center"/>
          </w:tcPr>
          <w:p>
            <w:pPr>
              <w:pStyle w:val="66"/>
            </w:pPr>
            <w:r>
              <w:t>2052</w:t>
            </w:r>
          </w:p>
        </w:tc>
        <w:tc>
          <w:tcPr>
            <w:tcW w:w="923" w:type="dxa"/>
            <w:noWrap/>
            <w:vAlign w:val="center"/>
          </w:tcPr>
          <w:p>
            <w:pPr>
              <w:pStyle w:val="66"/>
            </w:pPr>
            <w:r>
              <w:t>1450.32</w:t>
            </w:r>
          </w:p>
        </w:tc>
        <w:tc>
          <w:tcPr>
            <w:tcW w:w="910" w:type="dxa"/>
            <w:noWrap/>
            <w:vAlign w:val="center"/>
          </w:tcPr>
          <w:p>
            <w:pPr>
              <w:pStyle w:val="66"/>
            </w:pPr>
            <w:r>
              <w:t>3647.97</w:t>
            </w:r>
          </w:p>
        </w:tc>
        <w:tc>
          <w:tcPr>
            <w:tcW w:w="744" w:type="dxa"/>
            <w:noWrap/>
            <w:vAlign w:val="center"/>
          </w:tcPr>
          <w:p>
            <w:pPr>
              <w:pStyle w:val="66"/>
            </w:pPr>
            <w:r>
              <w:t>131.33</w:t>
            </w:r>
          </w:p>
        </w:tc>
        <w:tc>
          <w:tcPr>
            <w:tcW w:w="730" w:type="dxa"/>
            <w:noWrap/>
            <w:vAlign w:val="center"/>
          </w:tcPr>
          <w:p>
            <w:pPr>
              <w:pStyle w:val="66"/>
            </w:pPr>
            <w:r>
              <w:t>3779.3</w:t>
            </w:r>
          </w:p>
        </w:tc>
        <w:tc>
          <w:tcPr>
            <w:tcW w:w="717" w:type="dxa"/>
            <w:noWrap/>
            <w:vAlign w:val="center"/>
          </w:tcPr>
          <w:p>
            <w:pPr>
              <w:pStyle w:val="66"/>
            </w:pPr>
            <w:r>
              <w:t>188.97</w:t>
            </w:r>
          </w:p>
        </w:tc>
        <w:tc>
          <w:tcPr>
            <w:tcW w:w="627" w:type="dxa"/>
            <w:noWrap/>
            <w:vAlign w:val="center"/>
          </w:tcPr>
          <w:p>
            <w:pPr>
              <w:pStyle w:val="66"/>
            </w:pPr>
            <w:r>
              <w:t>119.05</w:t>
            </w:r>
          </w:p>
        </w:tc>
        <w:tc>
          <w:tcPr>
            <w:tcW w:w="781" w:type="dxa"/>
            <w:noWrap/>
            <w:vAlign w:val="center"/>
          </w:tcPr>
          <w:p>
            <w:pPr>
              <w:pStyle w:val="66"/>
            </w:pPr>
            <w:r>
              <w:t>1342.32</w:t>
            </w:r>
          </w:p>
        </w:tc>
        <w:tc>
          <w:tcPr>
            <w:tcW w:w="712" w:type="dxa"/>
            <w:noWrap/>
            <w:vAlign w:val="center"/>
          </w:tcPr>
          <w:p>
            <w:pPr>
              <w:pStyle w:val="66"/>
            </w:pPr>
            <w:r>
              <w:t>488.67</w:t>
            </w:r>
          </w:p>
        </w:tc>
        <w:tc>
          <w:tcPr>
            <w:tcW w:w="831" w:type="dxa"/>
            <w:noWrap/>
            <w:vAlign w:val="center"/>
          </w:tcPr>
          <w:p>
            <w:pPr>
              <w:pStyle w:val="66"/>
            </w:pPr>
            <w:r>
              <w:t>5918.31</w:t>
            </w:r>
          </w:p>
        </w:tc>
      </w:tr>
    </w:tbl>
    <w:p>
      <w:pPr>
        <w:ind w:firstLine="420"/>
        <w:rPr>
          <w:rFonts w:ascii="Times New Roman" w:hAnsi="Times New Roman" w:eastAsia="黑体"/>
          <w:sz w:val="21"/>
        </w:rPr>
        <w:sectPr>
          <w:pgSz w:w="16840" w:h="11920" w:orient="landscape"/>
          <w:pgMar w:top="1440" w:right="1800" w:bottom="1440" w:left="1800" w:header="879" w:footer="1009" w:gutter="0"/>
          <w:cols w:space="720" w:num="1"/>
          <w:docGrid w:linePitch="299" w:charSpace="0"/>
        </w:sectPr>
      </w:pPr>
    </w:p>
    <w:p>
      <w:pPr>
        <w:pStyle w:val="68"/>
        <w:ind w:firstLine="420"/>
      </w:pPr>
      <w:r>
        <w:t>表5工程措施费估算表</w:t>
      </w:r>
    </w:p>
    <w:tbl>
      <w:tblPr>
        <w:tblStyle w:val="35"/>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1135"/>
        <w:gridCol w:w="2409"/>
        <w:gridCol w:w="994"/>
        <w:gridCol w:w="993"/>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85" w:type="dxa"/>
            <w:vAlign w:val="center"/>
          </w:tcPr>
          <w:p>
            <w:pPr>
              <w:pStyle w:val="66"/>
            </w:pPr>
            <w:r>
              <w:t>序号</w:t>
            </w:r>
          </w:p>
        </w:tc>
        <w:tc>
          <w:tcPr>
            <w:tcW w:w="1135" w:type="dxa"/>
            <w:vAlign w:val="center"/>
          </w:tcPr>
          <w:p>
            <w:pPr>
              <w:pStyle w:val="66"/>
            </w:pPr>
            <w:r>
              <w:t>定额编号</w:t>
            </w:r>
          </w:p>
        </w:tc>
        <w:tc>
          <w:tcPr>
            <w:tcW w:w="2409" w:type="dxa"/>
            <w:vAlign w:val="center"/>
          </w:tcPr>
          <w:p>
            <w:pPr>
              <w:pStyle w:val="66"/>
            </w:pPr>
            <w:r>
              <w:t>分项名称</w:t>
            </w:r>
          </w:p>
        </w:tc>
        <w:tc>
          <w:tcPr>
            <w:tcW w:w="994" w:type="dxa"/>
            <w:vAlign w:val="center"/>
          </w:tcPr>
          <w:p>
            <w:pPr>
              <w:pStyle w:val="66"/>
            </w:pPr>
            <w:r>
              <w:t>计算单位</w:t>
            </w:r>
          </w:p>
        </w:tc>
        <w:tc>
          <w:tcPr>
            <w:tcW w:w="993" w:type="dxa"/>
            <w:vAlign w:val="center"/>
          </w:tcPr>
          <w:p>
            <w:pPr>
              <w:pStyle w:val="66"/>
            </w:pPr>
            <w:r>
              <w:t>工程量</w:t>
            </w:r>
          </w:p>
        </w:tc>
        <w:tc>
          <w:tcPr>
            <w:tcW w:w="993" w:type="dxa"/>
            <w:vAlign w:val="center"/>
          </w:tcPr>
          <w:p>
            <w:pPr>
              <w:pStyle w:val="66"/>
            </w:pPr>
            <w:r>
              <w:t>综合单价</w:t>
            </w:r>
          </w:p>
        </w:tc>
        <w:tc>
          <w:tcPr>
            <w:tcW w:w="1275" w:type="dxa"/>
            <w:vAlign w:val="center"/>
          </w:tcPr>
          <w:p>
            <w:pPr>
              <w:pStyle w:val="66"/>
            </w:pPr>
            <w: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（一）</w:t>
            </w:r>
          </w:p>
        </w:tc>
        <w:tc>
          <w:tcPr>
            <w:tcW w:w="1135" w:type="dxa"/>
            <w:noWrap/>
            <w:vAlign w:val="center"/>
          </w:tcPr>
          <w:p>
            <w:pPr>
              <w:pStyle w:val="66"/>
            </w:pPr>
            <w:r>
              <w:t>-</w:t>
            </w:r>
          </w:p>
        </w:tc>
        <w:tc>
          <w:tcPr>
            <w:tcW w:w="2409" w:type="dxa"/>
            <w:noWrap/>
            <w:vAlign w:val="center"/>
          </w:tcPr>
          <w:p>
            <w:pPr>
              <w:pStyle w:val="66"/>
            </w:pPr>
            <w:r>
              <w:t>土壤重构</w:t>
            </w:r>
          </w:p>
        </w:tc>
        <w:tc>
          <w:tcPr>
            <w:tcW w:w="994" w:type="dxa"/>
            <w:noWrap/>
            <w:vAlign w:val="center"/>
          </w:tcPr>
          <w:p>
            <w:pPr>
              <w:pStyle w:val="66"/>
            </w:pPr>
            <w:r>
              <w:t>-</w:t>
            </w:r>
          </w:p>
        </w:tc>
        <w:tc>
          <w:tcPr>
            <w:tcW w:w="993" w:type="dxa"/>
            <w:noWrap/>
            <w:vAlign w:val="center"/>
          </w:tcPr>
          <w:p>
            <w:pPr>
              <w:pStyle w:val="66"/>
            </w:pPr>
            <w:r>
              <w:t>-</w:t>
            </w:r>
          </w:p>
        </w:tc>
        <w:tc>
          <w:tcPr>
            <w:tcW w:w="993" w:type="dxa"/>
            <w:noWrap/>
            <w:vAlign w:val="center"/>
          </w:tcPr>
          <w:p>
            <w:pPr>
              <w:pStyle w:val="66"/>
            </w:pPr>
            <w:r>
              <w:t>-</w:t>
            </w:r>
          </w:p>
        </w:tc>
        <w:tc>
          <w:tcPr>
            <w:tcW w:w="1275" w:type="dxa"/>
            <w:noWrap/>
            <w:vAlign w:val="center"/>
          </w:tcPr>
          <w:p>
            <w:pPr>
              <w:pStyle w:val="66"/>
            </w:pPr>
            <w:r>
              <w:t>92367.83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jc w:val="center"/>
        </w:trPr>
        <w:tc>
          <w:tcPr>
            <w:tcW w:w="985" w:type="dxa"/>
            <w:noWrap/>
            <w:vAlign w:val="center"/>
          </w:tcPr>
          <w:p>
            <w:pPr>
              <w:pStyle w:val="66"/>
            </w:pPr>
            <w:r>
              <w:t xml:space="preserve">1 </w:t>
            </w:r>
          </w:p>
        </w:tc>
        <w:tc>
          <w:tcPr>
            <w:tcW w:w="1135" w:type="dxa"/>
            <w:noWrap/>
            <w:vAlign w:val="center"/>
          </w:tcPr>
          <w:p>
            <w:pPr>
              <w:pStyle w:val="66"/>
            </w:pPr>
            <w:r>
              <w:t>-</w:t>
            </w:r>
          </w:p>
        </w:tc>
        <w:tc>
          <w:tcPr>
            <w:tcW w:w="2409" w:type="dxa"/>
            <w:noWrap/>
            <w:vAlign w:val="center"/>
          </w:tcPr>
          <w:p>
            <w:pPr>
              <w:pStyle w:val="66"/>
            </w:pPr>
            <w:r>
              <w:t>土壤剥覆工程</w:t>
            </w:r>
          </w:p>
        </w:tc>
        <w:tc>
          <w:tcPr>
            <w:tcW w:w="994" w:type="dxa"/>
            <w:noWrap/>
            <w:vAlign w:val="center"/>
          </w:tcPr>
          <w:p>
            <w:pPr>
              <w:pStyle w:val="66"/>
            </w:pPr>
            <w:r>
              <w:t>-</w:t>
            </w:r>
          </w:p>
        </w:tc>
        <w:tc>
          <w:tcPr>
            <w:tcW w:w="993" w:type="dxa"/>
            <w:noWrap/>
            <w:vAlign w:val="center"/>
          </w:tcPr>
          <w:p>
            <w:pPr>
              <w:pStyle w:val="66"/>
            </w:pPr>
            <w:r>
              <w:t>-</w:t>
            </w:r>
          </w:p>
        </w:tc>
        <w:tc>
          <w:tcPr>
            <w:tcW w:w="993" w:type="dxa"/>
            <w:noWrap/>
            <w:vAlign w:val="center"/>
          </w:tcPr>
          <w:p>
            <w:pPr>
              <w:pStyle w:val="66"/>
            </w:pPr>
            <w:r>
              <w:t>-</w:t>
            </w:r>
          </w:p>
        </w:tc>
        <w:tc>
          <w:tcPr>
            <w:tcW w:w="1275" w:type="dxa"/>
            <w:noWrap/>
            <w:vAlign w:val="center"/>
          </w:tcPr>
          <w:p>
            <w:pPr>
              <w:pStyle w:val="66"/>
            </w:pPr>
            <w:r>
              <w:t>80523.08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 w:hRule="atLeast"/>
          <w:jc w:val="center"/>
        </w:trPr>
        <w:tc>
          <w:tcPr>
            <w:tcW w:w="985" w:type="dxa"/>
            <w:noWrap/>
            <w:vAlign w:val="center"/>
          </w:tcPr>
          <w:p>
            <w:pPr>
              <w:pStyle w:val="66"/>
            </w:pPr>
            <w:r>
              <w:t>-</w:t>
            </w:r>
          </w:p>
        </w:tc>
        <w:tc>
          <w:tcPr>
            <w:tcW w:w="1135" w:type="dxa"/>
            <w:noWrap/>
            <w:vAlign w:val="center"/>
          </w:tcPr>
          <w:p>
            <w:pPr>
              <w:pStyle w:val="66"/>
            </w:pPr>
            <w:r>
              <w:t>10304</w:t>
            </w:r>
          </w:p>
        </w:tc>
        <w:tc>
          <w:tcPr>
            <w:tcW w:w="2409" w:type="dxa"/>
            <w:noWrap/>
            <w:vAlign w:val="center"/>
          </w:tcPr>
          <w:p>
            <w:pPr>
              <w:pStyle w:val="66"/>
            </w:pPr>
            <w:r>
              <w:t>表土剥离</w:t>
            </w:r>
          </w:p>
        </w:tc>
        <w:tc>
          <w:tcPr>
            <w:tcW w:w="994" w:type="dxa"/>
            <w:noWrap/>
            <w:vAlign w:val="center"/>
          </w:tcPr>
          <w:p>
            <w:pPr>
              <w:pStyle w:val="66"/>
            </w:pPr>
            <w:r>
              <w:t>m</w:t>
            </w:r>
            <w:r>
              <w:rPr>
                <w:vertAlign w:val="superscript"/>
              </w:rPr>
              <w:t>3</w:t>
            </w:r>
          </w:p>
        </w:tc>
        <w:tc>
          <w:tcPr>
            <w:tcW w:w="993" w:type="dxa"/>
            <w:noWrap/>
            <w:vAlign w:val="center"/>
          </w:tcPr>
          <w:p>
            <w:pPr>
              <w:pStyle w:val="66"/>
            </w:pPr>
            <w:r>
              <w:t>13979.7</w:t>
            </w:r>
          </w:p>
        </w:tc>
        <w:tc>
          <w:tcPr>
            <w:tcW w:w="993" w:type="dxa"/>
            <w:noWrap/>
            <w:vAlign w:val="center"/>
          </w:tcPr>
          <w:p>
            <w:pPr>
              <w:pStyle w:val="66"/>
            </w:pPr>
            <w:r>
              <w:t>2.88</w:t>
            </w:r>
          </w:p>
        </w:tc>
        <w:tc>
          <w:tcPr>
            <w:tcW w:w="1275" w:type="dxa"/>
            <w:noWrap/>
            <w:vAlign w:val="center"/>
          </w:tcPr>
          <w:p>
            <w:pPr>
              <w:pStyle w:val="66"/>
            </w:pPr>
            <w:r>
              <w:t>40261.54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985" w:type="dxa"/>
            <w:noWrap/>
            <w:vAlign w:val="center"/>
          </w:tcPr>
          <w:p>
            <w:pPr>
              <w:pStyle w:val="66"/>
            </w:pPr>
            <w:r>
              <w:t>-</w:t>
            </w:r>
          </w:p>
        </w:tc>
        <w:tc>
          <w:tcPr>
            <w:tcW w:w="1135" w:type="dxa"/>
            <w:noWrap/>
            <w:vAlign w:val="center"/>
          </w:tcPr>
          <w:p>
            <w:pPr>
              <w:pStyle w:val="66"/>
            </w:pPr>
            <w:r>
              <w:t>10304</w:t>
            </w:r>
          </w:p>
        </w:tc>
        <w:tc>
          <w:tcPr>
            <w:tcW w:w="2409" w:type="dxa"/>
            <w:noWrap/>
            <w:vAlign w:val="center"/>
          </w:tcPr>
          <w:p>
            <w:pPr>
              <w:pStyle w:val="66"/>
            </w:pPr>
            <w:r>
              <w:t>表土回填</w:t>
            </w:r>
          </w:p>
        </w:tc>
        <w:tc>
          <w:tcPr>
            <w:tcW w:w="994" w:type="dxa"/>
            <w:noWrap/>
            <w:vAlign w:val="center"/>
          </w:tcPr>
          <w:p>
            <w:pPr>
              <w:pStyle w:val="66"/>
            </w:pPr>
            <w:r>
              <w:t>m</w:t>
            </w:r>
            <w:r>
              <w:rPr>
                <w:vertAlign w:val="superscript"/>
              </w:rPr>
              <w:t>3</w:t>
            </w:r>
          </w:p>
        </w:tc>
        <w:tc>
          <w:tcPr>
            <w:tcW w:w="993" w:type="dxa"/>
            <w:noWrap/>
            <w:vAlign w:val="center"/>
          </w:tcPr>
          <w:p>
            <w:pPr>
              <w:pStyle w:val="66"/>
            </w:pPr>
            <w:r>
              <w:t>13979.7</w:t>
            </w:r>
          </w:p>
        </w:tc>
        <w:tc>
          <w:tcPr>
            <w:tcW w:w="993" w:type="dxa"/>
            <w:noWrap/>
            <w:vAlign w:val="center"/>
          </w:tcPr>
          <w:p>
            <w:pPr>
              <w:pStyle w:val="66"/>
            </w:pPr>
            <w:r>
              <w:t>2.88</w:t>
            </w:r>
          </w:p>
        </w:tc>
        <w:tc>
          <w:tcPr>
            <w:tcW w:w="1275" w:type="dxa"/>
            <w:noWrap/>
            <w:vAlign w:val="center"/>
          </w:tcPr>
          <w:p>
            <w:pPr>
              <w:pStyle w:val="66"/>
            </w:pPr>
            <w:r>
              <w:t>40261.54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jc w:val="center"/>
        </w:trPr>
        <w:tc>
          <w:tcPr>
            <w:tcW w:w="985" w:type="dxa"/>
            <w:noWrap/>
            <w:vAlign w:val="center"/>
          </w:tcPr>
          <w:p>
            <w:pPr>
              <w:pStyle w:val="66"/>
            </w:pPr>
            <w:r>
              <w:t xml:space="preserve">2 </w:t>
            </w:r>
          </w:p>
        </w:tc>
        <w:tc>
          <w:tcPr>
            <w:tcW w:w="1135" w:type="dxa"/>
            <w:noWrap/>
            <w:vAlign w:val="center"/>
          </w:tcPr>
          <w:p>
            <w:pPr>
              <w:pStyle w:val="66"/>
            </w:pPr>
            <w:r>
              <w:t>-</w:t>
            </w:r>
          </w:p>
        </w:tc>
        <w:tc>
          <w:tcPr>
            <w:tcW w:w="2409" w:type="dxa"/>
            <w:noWrap/>
            <w:vAlign w:val="center"/>
          </w:tcPr>
          <w:p>
            <w:pPr>
              <w:pStyle w:val="66"/>
            </w:pPr>
            <w:r>
              <w:t>平整工程</w:t>
            </w:r>
          </w:p>
        </w:tc>
        <w:tc>
          <w:tcPr>
            <w:tcW w:w="994" w:type="dxa"/>
            <w:noWrap/>
            <w:vAlign w:val="center"/>
          </w:tcPr>
          <w:p>
            <w:pPr>
              <w:pStyle w:val="66"/>
            </w:pPr>
            <w:r>
              <w:t>-</w:t>
            </w:r>
          </w:p>
        </w:tc>
        <w:tc>
          <w:tcPr>
            <w:tcW w:w="993" w:type="dxa"/>
            <w:noWrap/>
            <w:vAlign w:val="center"/>
          </w:tcPr>
          <w:p>
            <w:pPr>
              <w:pStyle w:val="66"/>
            </w:pPr>
            <w:r>
              <w:t>　</w:t>
            </w:r>
          </w:p>
        </w:tc>
        <w:tc>
          <w:tcPr>
            <w:tcW w:w="993" w:type="dxa"/>
            <w:noWrap/>
            <w:vAlign w:val="center"/>
          </w:tcPr>
          <w:p>
            <w:pPr>
              <w:pStyle w:val="66"/>
            </w:pPr>
            <w:r>
              <w:t>　</w:t>
            </w:r>
          </w:p>
        </w:tc>
        <w:tc>
          <w:tcPr>
            <w:tcW w:w="1275" w:type="dxa"/>
            <w:noWrap/>
            <w:vAlign w:val="center"/>
          </w:tcPr>
          <w:p>
            <w:pPr>
              <w:pStyle w:val="66"/>
            </w:pPr>
            <w:r>
              <w:t>11844.75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 w:hRule="atLeast"/>
          <w:jc w:val="center"/>
        </w:trPr>
        <w:tc>
          <w:tcPr>
            <w:tcW w:w="985" w:type="dxa"/>
            <w:noWrap/>
            <w:vAlign w:val="center"/>
          </w:tcPr>
          <w:p>
            <w:pPr>
              <w:pStyle w:val="66"/>
            </w:pPr>
            <w:r>
              <w:t>-</w:t>
            </w:r>
          </w:p>
        </w:tc>
        <w:tc>
          <w:tcPr>
            <w:tcW w:w="1135" w:type="dxa"/>
            <w:noWrap/>
            <w:vAlign w:val="center"/>
          </w:tcPr>
          <w:p>
            <w:pPr>
              <w:pStyle w:val="66"/>
            </w:pPr>
            <w:r>
              <w:t>10303</w:t>
            </w:r>
          </w:p>
        </w:tc>
        <w:tc>
          <w:tcPr>
            <w:tcW w:w="2409" w:type="dxa"/>
            <w:noWrap/>
            <w:vAlign w:val="center"/>
          </w:tcPr>
          <w:p>
            <w:pPr>
              <w:pStyle w:val="66"/>
            </w:pPr>
            <w:r>
              <w:t>场地平整</w:t>
            </w:r>
          </w:p>
        </w:tc>
        <w:tc>
          <w:tcPr>
            <w:tcW w:w="994" w:type="dxa"/>
            <w:noWrap/>
            <w:vAlign w:val="center"/>
          </w:tcPr>
          <w:p>
            <w:pPr>
              <w:pStyle w:val="66"/>
            </w:pPr>
            <w:r>
              <w:t>m</w:t>
            </w:r>
            <w:r>
              <w:rPr>
                <w:vertAlign w:val="superscript"/>
              </w:rPr>
              <w:t>3</w:t>
            </w:r>
          </w:p>
        </w:tc>
        <w:tc>
          <w:tcPr>
            <w:tcW w:w="993" w:type="dxa"/>
            <w:noWrap/>
            <w:vAlign w:val="center"/>
          </w:tcPr>
          <w:p>
            <w:pPr>
              <w:pStyle w:val="66"/>
            </w:pPr>
            <w:r>
              <w:t>5217.95</w:t>
            </w:r>
          </w:p>
        </w:tc>
        <w:tc>
          <w:tcPr>
            <w:tcW w:w="993" w:type="dxa"/>
            <w:noWrap/>
            <w:vAlign w:val="center"/>
          </w:tcPr>
          <w:p>
            <w:pPr>
              <w:pStyle w:val="66"/>
            </w:pPr>
            <w:r>
              <w:t>2.27</w:t>
            </w:r>
          </w:p>
        </w:tc>
        <w:tc>
          <w:tcPr>
            <w:tcW w:w="1275" w:type="dxa"/>
            <w:noWrap/>
            <w:vAlign w:val="center"/>
          </w:tcPr>
          <w:p>
            <w:pPr>
              <w:pStyle w:val="66"/>
            </w:pPr>
            <w:r>
              <w:t>11844.75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985" w:type="dxa"/>
            <w:noWrap/>
            <w:vAlign w:val="center"/>
          </w:tcPr>
          <w:p>
            <w:pPr>
              <w:pStyle w:val="66"/>
            </w:pPr>
            <w:r>
              <w:t>（二）</w:t>
            </w:r>
          </w:p>
        </w:tc>
        <w:tc>
          <w:tcPr>
            <w:tcW w:w="1135" w:type="dxa"/>
            <w:noWrap/>
            <w:vAlign w:val="center"/>
          </w:tcPr>
          <w:p>
            <w:pPr>
              <w:pStyle w:val="66"/>
            </w:pPr>
            <w:r>
              <w:t>-</w:t>
            </w:r>
          </w:p>
        </w:tc>
        <w:tc>
          <w:tcPr>
            <w:tcW w:w="2409" w:type="dxa"/>
            <w:noWrap/>
            <w:vAlign w:val="center"/>
          </w:tcPr>
          <w:p>
            <w:pPr>
              <w:pStyle w:val="66"/>
            </w:pPr>
            <w:r>
              <w:t>迹地清理工程</w:t>
            </w:r>
          </w:p>
        </w:tc>
        <w:tc>
          <w:tcPr>
            <w:tcW w:w="994" w:type="dxa"/>
            <w:noWrap/>
            <w:vAlign w:val="center"/>
          </w:tcPr>
          <w:p>
            <w:pPr>
              <w:pStyle w:val="66"/>
            </w:pPr>
            <w:r>
              <w:t>-</w:t>
            </w:r>
          </w:p>
        </w:tc>
        <w:tc>
          <w:tcPr>
            <w:tcW w:w="993" w:type="dxa"/>
            <w:noWrap/>
            <w:vAlign w:val="center"/>
          </w:tcPr>
          <w:p>
            <w:pPr>
              <w:pStyle w:val="66"/>
            </w:pPr>
            <w:r>
              <w:t>　</w:t>
            </w:r>
          </w:p>
        </w:tc>
        <w:tc>
          <w:tcPr>
            <w:tcW w:w="993" w:type="dxa"/>
            <w:noWrap/>
            <w:vAlign w:val="center"/>
          </w:tcPr>
          <w:p>
            <w:pPr>
              <w:pStyle w:val="66"/>
            </w:pPr>
            <w:r>
              <w:t>　</w:t>
            </w:r>
          </w:p>
        </w:tc>
        <w:tc>
          <w:tcPr>
            <w:tcW w:w="1275" w:type="dxa"/>
            <w:noWrap/>
            <w:vAlign w:val="center"/>
          </w:tcPr>
          <w:p>
            <w:pPr>
              <w:pStyle w:val="66"/>
            </w:pPr>
            <w:r>
              <w:t>484381.13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jc w:val="center"/>
        </w:trPr>
        <w:tc>
          <w:tcPr>
            <w:tcW w:w="985" w:type="dxa"/>
            <w:noWrap/>
            <w:vAlign w:val="center"/>
          </w:tcPr>
          <w:p>
            <w:pPr>
              <w:pStyle w:val="66"/>
            </w:pPr>
            <w:r>
              <w:t>1</w:t>
            </w:r>
          </w:p>
        </w:tc>
        <w:tc>
          <w:tcPr>
            <w:tcW w:w="1135" w:type="dxa"/>
            <w:noWrap/>
            <w:vAlign w:val="center"/>
          </w:tcPr>
          <w:p>
            <w:pPr>
              <w:pStyle w:val="66"/>
            </w:pPr>
            <w:r>
              <w:t>10205</w:t>
            </w:r>
          </w:p>
        </w:tc>
        <w:tc>
          <w:tcPr>
            <w:tcW w:w="2409" w:type="dxa"/>
            <w:noWrap/>
            <w:vAlign w:val="center"/>
          </w:tcPr>
          <w:p>
            <w:pPr>
              <w:pStyle w:val="66"/>
            </w:pPr>
            <w:r>
              <w:t>砂砾石路面拆除</w:t>
            </w:r>
          </w:p>
        </w:tc>
        <w:tc>
          <w:tcPr>
            <w:tcW w:w="994" w:type="dxa"/>
            <w:noWrap/>
            <w:vAlign w:val="center"/>
          </w:tcPr>
          <w:p>
            <w:pPr>
              <w:pStyle w:val="66"/>
            </w:pPr>
            <w:r>
              <w:t>m</w:t>
            </w:r>
            <w:r>
              <w:rPr>
                <w:vertAlign w:val="superscript"/>
              </w:rPr>
              <w:t>3</w:t>
            </w:r>
          </w:p>
        </w:tc>
        <w:tc>
          <w:tcPr>
            <w:tcW w:w="993" w:type="dxa"/>
            <w:noWrap/>
            <w:vAlign w:val="center"/>
          </w:tcPr>
          <w:p>
            <w:pPr>
              <w:pStyle w:val="66"/>
            </w:pPr>
            <w:r>
              <w:t>5797.5</w:t>
            </w:r>
          </w:p>
        </w:tc>
        <w:tc>
          <w:tcPr>
            <w:tcW w:w="993" w:type="dxa"/>
            <w:noWrap/>
            <w:vAlign w:val="center"/>
          </w:tcPr>
          <w:p>
            <w:pPr>
              <w:pStyle w:val="66"/>
            </w:pPr>
            <w:r>
              <w:t>3.38</w:t>
            </w:r>
          </w:p>
        </w:tc>
        <w:tc>
          <w:tcPr>
            <w:tcW w:w="1275" w:type="dxa"/>
            <w:noWrap/>
            <w:vAlign w:val="center"/>
          </w:tcPr>
          <w:p>
            <w:pPr>
              <w:pStyle w:val="66"/>
            </w:pPr>
            <w:r>
              <w:t>19595.55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4</w:t>
            </w:r>
          </w:p>
        </w:tc>
        <w:tc>
          <w:tcPr>
            <w:tcW w:w="1135" w:type="dxa"/>
            <w:noWrap/>
            <w:vAlign w:val="center"/>
          </w:tcPr>
          <w:p>
            <w:pPr>
              <w:pStyle w:val="66"/>
            </w:pPr>
            <w:r>
              <w:t>20341</w:t>
            </w:r>
          </w:p>
        </w:tc>
        <w:tc>
          <w:tcPr>
            <w:tcW w:w="2409" w:type="dxa"/>
            <w:noWrap/>
            <w:vAlign w:val="center"/>
          </w:tcPr>
          <w:p>
            <w:pPr>
              <w:pStyle w:val="66"/>
            </w:pPr>
            <w:r>
              <w:rPr>
                <w:rFonts w:hint="eastAsia"/>
              </w:rPr>
              <w:t>垃圾清运（运石渣9-10km）+26km</w:t>
            </w:r>
          </w:p>
        </w:tc>
        <w:tc>
          <w:tcPr>
            <w:tcW w:w="994" w:type="dxa"/>
            <w:noWrap/>
            <w:vAlign w:val="center"/>
          </w:tcPr>
          <w:p>
            <w:pPr>
              <w:pStyle w:val="66"/>
            </w:pPr>
            <w:r>
              <w:t>m</w:t>
            </w:r>
            <w:r>
              <w:rPr>
                <w:vertAlign w:val="superscript"/>
              </w:rPr>
              <w:t>3</w:t>
            </w:r>
          </w:p>
        </w:tc>
        <w:tc>
          <w:tcPr>
            <w:tcW w:w="993" w:type="dxa"/>
            <w:noWrap/>
            <w:vAlign w:val="center"/>
          </w:tcPr>
          <w:p>
            <w:pPr>
              <w:pStyle w:val="66"/>
            </w:pPr>
            <w:r>
              <w:t>5797.5</w:t>
            </w:r>
          </w:p>
        </w:tc>
        <w:tc>
          <w:tcPr>
            <w:tcW w:w="993" w:type="dxa"/>
            <w:noWrap/>
            <w:vAlign w:val="center"/>
          </w:tcPr>
          <w:p>
            <w:pPr>
              <w:pStyle w:val="66"/>
            </w:pPr>
            <w:r>
              <w:t>80.17</w:t>
            </w:r>
          </w:p>
        </w:tc>
        <w:tc>
          <w:tcPr>
            <w:tcW w:w="1275" w:type="dxa"/>
            <w:noWrap/>
            <w:vAlign w:val="center"/>
          </w:tcPr>
          <w:p>
            <w:pPr>
              <w:pStyle w:val="66"/>
            </w:pPr>
            <w:r>
              <w:t>464785.58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（三）</w:t>
            </w:r>
          </w:p>
        </w:tc>
        <w:tc>
          <w:tcPr>
            <w:tcW w:w="1135" w:type="dxa"/>
            <w:noWrap/>
            <w:vAlign w:val="center"/>
          </w:tcPr>
          <w:p>
            <w:pPr>
              <w:pStyle w:val="66"/>
            </w:pPr>
            <w:r>
              <w:t>-</w:t>
            </w:r>
          </w:p>
        </w:tc>
        <w:tc>
          <w:tcPr>
            <w:tcW w:w="2409" w:type="dxa"/>
            <w:noWrap/>
            <w:vAlign w:val="center"/>
          </w:tcPr>
          <w:p>
            <w:pPr>
              <w:pStyle w:val="66"/>
            </w:pPr>
            <w:r>
              <w:t>植被重建工程</w:t>
            </w:r>
          </w:p>
        </w:tc>
        <w:tc>
          <w:tcPr>
            <w:tcW w:w="994" w:type="dxa"/>
            <w:noWrap/>
            <w:vAlign w:val="center"/>
          </w:tcPr>
          <w:p>
            <w:pPr>
              <w:pStyle w:val="66"/>
            </w:pPr>
            <w:r>
              <w:t>-</w:t>
            </w:r>
          </w:p>
        </w:tc>
        <w:tc>
          <w:tcPr>
            <w:tcW w:w="993" w:type="dxa"/>
            <w:noWrap/>
            <w:vAlign w:val="center"/>
          </w:tcPr>
          <w:p>
            <w:pPr>
              <w:pStyle w:val="66"/>
            </w:pPr>
            <w:r>
              <w:t>　</w:t>
            </w:r>
          </w:p>
        </w:tc>
        <w:tc>
          <w:tcPr>
            <w:tcW w:w="993" w:type="dxa"/>
            <w:noWrap/>
            <w:vAlign w:val="center"/>
          </w:tcPr>
          <w:p>
            <w:pPr>
              <w:pStyle w:val="66"/>
            </w:pPr>
            <w:r>
              <w:t>　</w:t>
            </w:r>
          </w:p>
        </w:tc>
        <w:tc>
          <w:tcPr>
            <w:tcW w:w="1275" w:type="dxa"/>
            <w:noWrap/>
            <w:vAlign w:val="center"/>
          </w:tcPr>
          <w:p>
            <w:pPr>
              <w:pStyle w:val="66"/>
            </w:pPr>
            <w:r>
              <w:t>88159.13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1</w:t>
            </w:r>
          </w:p>
        </w:tc>
        <w:tc>
          <w:tcPr>
            <w:tcW w:w="1135" w:type="dxa"/>
            <w:noWrap/>
            <w:vAlign w:val="center"/>
          </w:tcPr>
          <w:p>
            <w:pPr>
              <w:pStyle w:val="66"/>
            </w:pPr>
            <w:r>
              <w:t>90013</w:t>
            </w:r>
          </w:p>
        </w:tc>
        <w:tc>
          <w:tcPr>
            <w:tcW w:w="2409" w:type="dxa"/>
            <w:noWrap/>
            <w:vAlign w:val="center"/>
          </w:tcPr>
          <w:p>
            <w:pPr>
              <w:pStyle w:val="66"/>
            </w:pPr>
            <w:r>
              <w:t>栽植灌木-（红柳、梭梭）</w:t>
            </w:r>
          </w:p>
        </w:tc>
        <w:tc>
          <w:tcPr>
            <w:tcW w:w="994" w:type="dxa"/>
            <w:noWrap/>
            <w:vAlign w:val="center"/>
          </w:tcPr>
          <w:p>
            <w:pPr>
              <w:pStyle w:val="66"/>
            </w:pPr>
            <w:r>
              <w:t>株</w:t>
            </w:r>
          </w:p>
        </w:tc>
        <w:tc>
          <w:tcPr>
            <w:tcW w:w="993" w:type="dxa"/>
            <w:noWrap/>
            <w:vAlign w:val="center"/>
          </w:tcPr>
          <w:p>
            <w:pPr>
              <w:pStyle w:val="66"/>
            </w:pPr>
            <w:r>
              <w:t>21318</w:t>
            </w:r>
          </w:p>
        </w:tc>
        <w:tc>
          <w:tcPr>
            <w:tcW w:w="993" w:type="dxa"/>
            <w:noWrap/>
            <w:vAlign w:val="center"/>
          </w:tcPr>
          <w:p>
            <w:pPr>
              <w:pStyle w:val="66"/>
            </w:pPr>
            <w:r>
              <w:t>3.97</w:t>
            </w:r>
          </w:p>
        </w:tc>
        <w:tc>
          <w:tcPr>
            <w:tcW w:w="1275" w:type="dxa"/>
            <w:noWrap/>
            <w:vAlign w:val="center"/>
          </w:tcPr>
          <w:p>
            <w:pPr>
              <w:pStyle w:val="66"/>
            </w:pPr>
            <w:r>
              <w:t>84632.46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2</w:t>
            </w:r>
          </w:p>
        </w:tc>
        <w:tc>
          <w:tcPr>
            <w:tcW w:w="1135" w:type="dxa"/>
            <w:noWrap/>
            <w:vAlign w:val="center"/>
          </w:tcPr>
          <w:p>
            <w:pPr>
              <w:pStyle w:val="66"/>
            </w:pPr>
            <w:r>
              <w:t>90030</w:t>
            </w:r>
          </w:p>
        </w:tc>
        <w:tc>
          <w:tcPr>
            <w:tcW w:w="2409" w:type="dxa"/>
            <w:noWrap/>
            <w:vAlign w:val="center"/>
          </w:tcPr>
          <w:p>
            <w:pPr>
              <w:pStyle w:val="66"/>
            </w:pPr>
            <w:r>
              <w:t>撒播草</w:t>
            </w:r>
            <w:r>
              <w:rPr>
                <w:rFonts w:ascii="仿宋" w:hAnsi="仿宋"/>
              </w:rPr>
              <w:t>籽(芨芨草、骆驼刺、盐爪爪)</w:t>
            </w:r>
          </w:p>
        </w:tc>
        <w:tc>
          <w:tcPr>
            <w:tcW w:w="994" w:type="dxa"/>
            <w:noWrap/>
            <w:vAlign w:val="center"/>
          </w:tcPr>
          <w:p>
            <w:pPr>
              <w:pStyle w:val="66"/>
            </w:pPr>
            <w:r>
              <w:t>hm</w:t>
            </w:r>
            <w:r>
              <w:rPr>
                <w:vertAlign w:val="superscript"/>
              </w:rPr>
              <w:t>2</w:t>
            </w:r>
          </w:p>
        </w:tc>
        <w:tc>
          <w:tcPr>
            <w:tcW w:w="993" w:type="dxa"/>
            <w:noWrap/>
            <w:vAlign w:val="center"/>
          </w:tcPr>
          <w:p>
            <w:pPr>
              <w:pStyle w:val="66"/>
            </w:pPr>
            <w:r>
              <w:t>0.3967</w:t>
            </w:r>
          </w:p>
        </w:tc>
        <w:tc>
          <w:tcPr>
            <w:tcW w:w="993" w:type="dxa"/>
            <w:noWrap/>
            <w:vAlign w:val="center"/>
          </w:tcPr>
          <w:p>
            <w:pPr>
              <w:pStyle w:val="66"/>
            </w:pPr>
            <w:r>
              <w:t>2579.29</w:t>
            </w:r>
          </w:p>
        </w:tc>
        <w:tc>
          <w:tcPr>
            <w:tcW w:w="1275" w:type="dxa"/>
            <w:noWrap/>
            <w:vAlign w:val="center"/>
          </w:tcPr>
          <w:p>
            <w:pPr>
              <w:pStyle w:val="66"/>
            </w:pPr>
            <w:r>
              <w:t>1023.2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85" w:type="dxa"/>
            <w:noWrap/>
            <w:vAlign w:val="center"/>
          </w:tcPr>
          <w:p>
            <w:pPr>
              <w:pStyle w:val="66"/>
            </w:pPr>
            <w:r>
              <w:t>3</w:t>
            </w:r>
          </w:p>
        </w:tc>
        <w:tc>
          <w:tcPr>
            <w:tcW w:w="1135" w:type="dxa"/>
            <w:noWrap/>
            <w:vAlign w:val="center"/>
          </w:tcPr>
          <w:p>
            <w:pPr>
              <w:pStyle w:val="66"/>
            </w:pPr>
            <w:r>
              <w:t>补001</w:t>
            </w:r>
          </w:p>
        </w:tc>
        <w:tc>
          <w:tcPr>
            <w:tcW w:w="2409" w:type="dxa"/>
            <w:noWrap/>
            <w:vAlign w:val="center"/>
          </w:tcPr>
          <w:p>
            <w:pPr>
              <w:pStyle w:val="66"/>
            </w:pPr>
            <w:r>
              <w:t>土壤配肥</w:t>
            </w:r>
          </w:p>
        </w:tc>
        <w:tc>
          <w:tcPr>
            <w:tcW w:w="994" w:type="dxa"/>
            <w:noWrap/>
            <w:vAlign w:val="center"/>
          </w:tcPr>
          <w:p>
            <w:pPr>
              <w:pStyle w:val="66"/>
            </w:pPr>
            <w:r>
              <w:t>t</w:t>
            </w:r>
          </w:p>
        </w:tc>
        <w:tc>
          <w:tcPr>
            <w:tcW w:w="993" w:type="dxa"/>
            <w:noWrap/>
            <w:vAlign w:val="center"/>
          </w:tcPr>
          <w:p>
            <w:pPr>
              <w:pStyle w:val="66"/>
            </w:pPr>
            <w:r>
              <w:t>3.495</w:t>
            </w:r>
          </w:p>
        </w:tc>
        <w:tc>
          <w:tcPr>
            <w:tcW w:w="993" w:type="dxa"/>
            <w:noWrap/>
            <w:vAlign w:val="center"/>
          </w:tcPr>
          <w:p>
            <w:pPr>
              <w:pStyle w:val="66"/>
            </w:pPr>
            <w:r>
              <w:t>716.3</w:t>
            </w:r>
          </w:p>
        </w:tc>
        <w:tc>
          <w:tcPr>
            <w:tcW w:w="1275" w:type="dxa"/>
            <w:noWrap/>
            <w:vAlign w:val="center"/>
          </w:tcPr>
          <w:p>
            <w:pPr>
              <w:pStyle w:val="66"/>
            </w:pPr>
            <w:r>
              <w:t>2503.47</w:t>
            </w:r>
          </w:p>
        </w:tc>
      </w:tr>
    </w:tbl>
    <w:p>
      <w:pPr>
        <w:adjustRightInd w:val="0"/>
        <w:snapToGrid w:val="0"/>
        <w:spacing w:after="0" w:line="240" w:lineRule="auto"/>
        <w:textAlignment w:val="baseline"/>
        <w:rPr>
          <w:rFonts w:ascii="Times New Roman" w:hAnsi="Times New Roman" w:eastAsia="黑体"/>
          <w:kern w:val="2"/>
          <w:sz w:val="21"/>
          <w:szCs w:val="24"/>
          <w:lang w:eastAsia="zh-CN"/>
        </w:rPr>
      </w:pPr>
    </w:p>
    <w:p>
      <w:pPr>
        <w:pStyle w:val="68"/>
        <w:ind w:firstLine="420"/>
      </w:pPr>
      <w:r>
        <w:t>表6其他费用估算表</w:t>
      </w:r>
    </w:p>
    <w:tbl>
      <w:tblPr>
        <w:tblStyle w:val="35"/>
        <w:tblW w:w="83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3404"/>
        <w:gridCol w:w="1449"/>
        <w:gridCol w:w="1128"/>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vMerge w:val="restart"/>
            <w:noWrap/>
            <w:vAlign w:val="center"/>
          </w:tcPr>
          <w:p>
            <w:pPr>
              <w:pStyle w:val="66"/>
            </w:pPr>
            <w:r>
              <w:t>序号</w:t>
            </w:r>
          </w:p>
        </w:tc>
        <w:tc>
          <w:tcPr>
            <w:tcW w:w="3404" w:type="dxa"/>
            <w:noWrap/>
            <w:vAlign w:val="center"/>
          </w:tcPr>
          <w:p>
            <w:pPr>
              <w:pStyle w:val="66"/>
            </w:pPr>
            <w:r>
              <w:t>费用名称</w:t>
            </w:r>
          </w:p>
        </w:tc>
        <w:tc>
          <w:tcPr>
            <w:tcW w:w="1449" w:type="dxa"/>
            <w:noWrap/>
            <w:vAlign w:val="center"/>
          </w:tcPr>
          <w:p>
            <w:pPr>
              <w:pStyle w:val="66"/>
            </w:pPr>
            <w:r>
              <w:t>费基/万元</w:t>
            </w:r>
          </w:p>
        </w:tc>
        <w:tc>
          <w:tcPr>
            <w:tcW w:w="1128" w:type="dxa"/>
            <w:noWrap/>
            <w:vAlign w:val="center"/>
          </w:tcPr>
          <w:p>
            <w:pPr>
              <w:pStyle w:val="66"/>
            </w:pPr>
            <w:r>
              <w:t>费率/%</w:t>
            </w:r>
          </w:p>
        </w:tc>
        <w:tc>
          <w:tcPr>
            <w:tcW w:w="1448" w:type="dxa"/>
            <w:noWrap/>
            <w:vAlign w:val="center"/>
          </w:tcPr>
          <w:p>
            <w:pPr>
              <w:pStyle w:val="66"/>
            </w:pPr>
            <w: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vMerge w:val="continue"/>
            <w:vAlign w:val="center"/>
          </w:tcPr>
          <w:p>
            <w:pPr>
              <w:pStyle w:val="66"/>
            </w:pPr>
          </w:p>
        </w:tc>
        <w:tc>
          <w:tcPr>
            <w:tcW w:w="3404" w:type="dxa"/>
            <w:noWrap/>
            <w:vAlign w:val="center"/>
          </w:tcPr>
          <w:p>
            <w:pPr>
              <w:pStyle w:val="66"/>
            </w:pPr>
            <w:r>
              <w:rPr>
                <w:rFonts w:hint="eastAsia"/>
              </w:rPr>
              <w:t>（</w:t>
            </w:r>
            <w:r>
              <w:t>1</w:t>
            </w:r>
            <w:r>
              <w:rPr>
                <w:rFonts w:hint="eastAsia"/>
              </w:rPr>
              <w:t>）</w:t>
            </w:r>
          </w:p>
        </w:tc>
        <w:tc>
          <w:tcPr>
            <w:tcW w:w="1449" w:type="dxa"/>
            <w:vAlign w:val="center"/>
          </w:tcPr>
          <w:p>
            <w:pPr>
              <w:pStyle w:val="66"/>
            </w:pPr>
            <w:r>
              <w:rPr>
                <w:rFonts w:hint="eastAsia"/>
              </w:rPr>
              <w:t>（</w:t>
            </w:r>
            <w:r>
              <w:t>2</w:t>
            </w:r>
            <w:r>
              <w:rPr>
                <w:rFonts w:hint="eastAsia"/>
              </w:rPr>
              <w:t>）</w:t>
            </w:r>
          </w:p>
        </w:tc>
        <w:tc>
          <w:tcPr>
            <w:tcW w:w="1128" w:type="dxa"/>
            <w:noWrap/>
            <w:vAlign w:val="center"/>
          </w:tcPr>
          <w:p>
            <w:pPr>
              <w:pStyle w:val="66"/>
            </w:pPr>
            <w:r>
              <w:rPr>
                <w:rFonts w:hint="eastAsia"/>
              </w:rPr>
              <w:t>（</w:t>
            </w:r>
            <w:r>
              <w:t>3</w:t>
            </w:r>
            <w:r>
              <w:rPr>
                <w:rFonts w:hint="eastAsia"/>
              </w:rPr>
              <w:t>）</w:t>
            </w:r>
          </w:p>
        </w:tc>
        <w:tc>
          <w:tcPr>
            <w:tcW w:w="1448" w:type="dxa"/>
            <w:vAlign w:val="center"/>
          </w:tcPr>
          <w:p>
            <w:pPr>
              <w:pStyle w:val="66"/>
            </w:pPr>
            <w:r>
              <w:rPr>
                <w:rFonts w:hint="eastAsia"/>
              </w:rPr>
              <w:t>（</w:t>
            </w:r>
            <w:r>
              <w:t>4</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1</w:t>
            </w:r>
          </w:p>
        </w:tc>
        <w:tc>
          <w:tcPr>
            <w:tcW w:w="3404" w:type="dxa"/>
            <w:noWrap/>
            <w:vAlign w:val="center"/>
          </w:tcPr>
          <w:p>
            <w:pPr>
              <w:pStyle w:val="66"/>
            </w:pPr>
            <w:r>
              <w:t>前期工作费</w:t>
            </w:r>
          </w:p>
        </w:tc>
        <w:tc>
          <w:tcPr>
            <w:tcW w:w="1449" w:type="dxa"/>
            <w:noWrap/>
            <w:vAlign w:val="center"/>
          </w:tcPr>
          <w:p>
            <w:pPr>
              <w:pStyle w:val="66"/>
            </w:pPr>
            <w:r>
              <w:t>66.49</w:t>
            </w:r>
          </w:p>
        </w:tc>
        <w:tc>
          <w:tcPr>
            <w:tcW w:w="1128" w:type="dxa"/>
            <w:noWrap/>
            <w:vAlign w:val="center"/>
          </w:tcPr>
          <w:p>
            <w:pPr>
              <w:pStyle w:val="66"/>
            </w:pPr>
            <w:r>
              <w:t>6</w:t>
            </w:r>
          </w:p>
        </w:tc>
        <w:tc>
          <w:tcPr>
            <w:tcW w:w="1448" w:type="dxa"/>
            <w:noWrap/>
            <w:vAlign w:val="center"/>
          </w:tcPr>
          <w:p>
            <w:pPr>
              <w:pStyle w:val="66"/>
            </w:pPr>
            <w:r>
              <w:t>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（1）</w:t>
            </w:r>
          </w:p>
        </w:tc>
        <w:tc>
          <w:tcPr>
            <w:tcW w:w="3404" w:type="dxa"/>
            <w:noWrap/>
            <w:vAlign w:val="center"/>
          </w:tcPr>
          <w:p>
            <w:pPr>
              <w:pStyle w:val="66"/>
            </w:pPr>
            <w:r>
              <w:t>土地利用与生态现状调查费</w:t>
            </w:r>
          </w:p>
        </w:tc>
        <w:tc>
          <w:tcPr>
            <w:tcW w:w="1449" w:type="dxa"/>
            <w:noWrap/>
            <w:vAlign w:val="center"/>
          </w:tcPr>
          <w:p>
            <w:pPr>
              <w:pStyle w:val="66"/>
            </w:pPr>
            <w:r>
              <w:t>66.49</w:t>
            </w:r>
          </w:p>
        </w:tc>
        <w:tc>
          <w:tcPr>
            <w:tcW w:w="1128" w:type="dxa"/>
            <w:noWrap/>
            <w:vAlign w:val="center"/>
          </w:tcPr>
          <w:p>
            <w:pPr>
              <w:pStyle w:val="66"/>
            </w:pPr>
            <w:r>
              <w:t>0.5</w:t>
            </w:r>
          </w:p>
        </w:tc>
        <w:tc>
          <w:tcPr>
            <w:tcW w:w="1448" w:type="dxa"/>
            <w:noWrap/>
            <w:vAlign w:val="center"/>
          </w:tcPr>
          <w:p>
            <w:pPr>
              <w:pStyle w:val="66"/>
            </w:pPr>
            <w: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（2）</w:t>
            </w:r>
          </w:p>
        </w:tc>
        <w:tc>
          <w:tcPr>
            <w:tcW w:w="3404" w:type="dxa"/>
            <w:noWrap/>
            <w:vAlign w:val="center"/>
          </w:tcPr>
          <w:p>
            <w:pPr>
              <w:pStyle w:val="66"/>
            </w:pPr>
            <w:r>
              <w:t>土地勘测费</w:t>
            </w:r>
          </w:p>
        </w:tc>
        <w:tc>
          <w:tcPr>
            <w:tcW w:w="1449" w:type="dxa"/>
            <w:noWrap/>
            <w:vAlign w:val="center"/>
          </w:tcPr>
          <w:p>
            <w:pPr>
              <w:pStyle w:val="66"/>
            </w:pPr>
            <w:r>
              <w:t>66.49</w:t>
            </w:r>
          </w:p>
        </w:tc>
        <w:tc>
          <w:tcPr>
            <w:tcW w:w="1128" w:type="dxa"/>
            <w:noWrap/>
            <w:vAlign w:val="center"/>
          </w:tcPr>
          <w:p>
            <w:pPr>
              <w:pStyle w:val="66"/>
            </w:pPr>
            <w:r>
              <w:t>1</w:t>
            </w:r>
          </w:p>
        </w:tc>
        <w:tc>
          <w:tcPr>
            <w:tcW w:w="1448" w:type="dxa"/>
            <w:noWrap/>
            <w:vAlign w:val="center"/>
          </w:tcPr>
          <w:p>
            <w:pPr>
              <w:pStyle w:val="66"/>
            </w:pPr>
            <w:r>
              <w:t>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（3）</w:t>
            </w:r>
          </w:p>
        </w:tc>
        <w:tc>
          <w:tcPr>
            <w:tcW w:w="3404" w:type="dxa"/>
            <w:noWrap/>
            <w:vAlign w:val="center"/>
          </w:tcPr>
          <w:p>
            <w:pPr>
              <w:pStyle w:val="66"/>
            </w:pPr>
            <w:r>
              <w:t>阶段复垦方案编制费</w:t>
            </w:r>
          </w:p>
        </w:tc>
        <w:tc>
          <w:tcPr>
            <w:tcW w:w="1449" w:type="dxa"/>
            <w:noWrap/>
            <w:vAlign w:val="center"/>
          </w:tcPr>
          <w:p>
            <w:pPr>
              <w:pStyle w:val="66"/>
            </w:pPr>
            <w:r>
              <w:t>66.49</w:t>
            </w:r>
          </w:p>
        </w:tc>
        <w:tc>
          <w:tcPr>
            <w:tcW w:w="1128" w:type="dxa"/>
            <w:noWrap/>
            <w:vAlign w:val="center"/>
          </w:tcPr>
          <w:p>
            <w:pPr>
              <w:pStyle w:val="66"/>
            </w:pPr>
            <w:r>
              <w:t>1.5</w:t>
            </w:r>
          </w:p>
        </w:tc>
        <w:tc>
          <w:tcPr>
            <w:tcW w:w="1448" w:type="dxa"/>
            <w:noWrap/>
            <w:vAlign w:val="center"/>
          </w:tcPr>
          <w:p>
            <w:pPr>
              <w:pStyle w:val="66"/>
            </w:pP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（4）</w:t>
            </w:r>
          </w:p>
        </w:tc>
        <w:tc>
          <w:tcPr>
            <w:tcW w:w="3404" w:type="dxa"/>
            <w:noWrap/>
            <w:vAlign w:val="center"/>
          </w:tcPr>
          <w:p>
            <w:pPr>
              <w:pStyle w:val="66"/>
            </w:pPr>
            <w:r>
              <w:t>年度实施方案编制费</w:t>
            </w:r>
          </w:p>
        </w:tc>
        <w:tc>
          <w:tcPr>
            <w:tcW w:w="1449" w:type="dxa"/>
            <w:noWrap/>
            <w:vAlign w:val="center"/>
          </w:tcPr>
          <w:p>
            <w:pPr>
              <w:pStyle w:val="66"/>
            </w:pPr>
            <w:r>
              <w:t>66.49</w:t>
            </w:r>
          </w:p>
        </w:tc>
        <w:tc>
          <w:tcPr>
            <w:tcW w:w="1128" w:type="dxa"/>
            <w:noWrap/>
            <w:vAlign w:val="center"/>
          </w:tcPr>
          <w:p>
            <w:pPr>
              <w:pStyle w:val="66"/>
            </w:pPr>
            <w:r>
              <w:t>2</w:t>
            </w:r>
          </w:p>
        </w:tc>
        <w:tc>
          <w:tcPr>
            <w:tcW w:w="1448" w:type="dxa"/>
            <w:noWrap/>
            <w:vAlign w:val="center"/>
          </w:tcPr>
          <w:p>
            <w:pPr>
              <w:pStyle w:val="66"/>
            </w:pPr>
            <w: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（5）</w:t>
            </w:r>
          </w:p>
        </w:tc>
        <w:tc>
          <w:tcPr>
            <w:tcW w:w="3404" w:type="dxa"/>
            <w:noWrap/>
            <w:vAlign w:val="center"/>
          </w:tcPr>
          <w:p>
            <w:pPr>
              <w:pStyle w:val="66"/>
            </w:pPr>
            <w:r>
              <w:t>科研试验费</w:t>
            </w:r>
          </w:p>
        </w:tc>
        <w:tc>
          <w:tcPr>
            <w:tcW w:w="1449" w:type="dxa"/>
            <w:noWrap/>
            <w:vAlign w:val="center"/>
          </w:tcPr>
          <w:p>
            <w:pPr>
              <w:pStyle w:val="66"/>
            </w:pPr>
            <w:r>
              <w:t>66.49</w:t>
            </w:r>
          </w:p>
        </w:tc>
        <w:tc>
          <w:tcPr>
            <w:tcW w:w="1128" w:type="dxa"/>
            <w:noWrap/>
            <w:vAlign w:val="center"/>
          </w:tcPr>
          <w:p>
            <w:pPr>
              <w:pStyle w:val="66"/>
            </w:pPr>
            <w:r>
              <w:t>0.5</w:t>
            </w:r>
          </w:p>
        </w:tc>
        <w:tc>
          <w:tcPr>
            <w:tcW w:w="1448" w:type="dxa"/>
            <w:noWrap/>
            <w:vAlign w:val="center"/>
          </w:tcPr>
          <w:p>
            <w:pPr>
              <w:pStyle w:val="66"/>
            </w:pPr>
            <w:r>
              <w:t>0.33</w:t>
            </w:r>
          </w:p>
        </w:tc>
      </w:tr>
      <w:tr>
        <w:tblPrEx>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2</w:t>
            </w:r>
          </w:p>
        </w:tc>
        <w:tc>
          <w:tcPr>
            <w:tcW w:w="3404" w:type="dxa"/>
            <w:noWrap/>
            <w:vAlign w:val="center"/>
          </w:tcPr>
          <w:p>
            <w:pPr>
              <w:pStyle w:val="66"/>
            </w:pPr>
            <w:r>
              <w:t>工程监理费</w:t>
            </w:r>
          </w:p>
        </w:tc>
        <w:tc>
          <w:tcPr>
            <w:tcW w:w="1449" w:type="dxa"/>
            <w:noWrap/>
            <w:vAlign w:val="center"/>
          </w:tcPr>
          <w:p>
            <w:pPr>
              <w:pStyle w:val="66"/>
            </w:pPr>
            <w:r>
              <w:t>66.49</w:t>
            </w:r>
          </w:p>
        </w:tc>
        <w:tc>
          <w:tcPr>
            <w:tcW w:w="1128" w:type="dxa"/>
            <w:noWrap/>
            <w:vAlign w:val="center"/>
          </w:tcPr>
          <w:p>
            <w:pPr>
              <w:pStyle w:val="66"/>
            </w:pPr>
            <w:r>
              <w:t>2</w:t>
            </w:r>
          </w:p>
        </w:tc>
        <w:tc>
          <w:tcPr>
            <w:tcW w:w="1448" w:type="dxa"/>
            <w:noWrap/>
            <w:vAlign w:val="center"/>
          </w:tcPr>
          <w:p>
            <w:pPr>
              <w:pStyle w:val="66"/>
            </w:pPr>
            <w: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3</w:t>
            </w:r>
          </w:p>
        </w:tc>
        <w:tc>
          <w:tcPr>
            <w:tcW w:w="3404" w:type="dxa"/>
            <w:noWrap/>
            <w:vAlign w:val="center"/>
          </w:tcPr>
          <w:p>
            <w:pPr>
              <w:pStyle w:val="66"/>
            </w:pPr>
            <w:r>
              <w:t>竣工验收费</w:t>
            </w:r>
          </w:p>
        </w:tc>
        <w:tc>
          <w:tcPr>
            <w:tcW w:w="1449" w:type="dxa"/>
            <w:noWrap/>
            <w:vAlign w:val="center"/>
          </w:tcPr>
          <w:p>
            <w:pPr>
              <w:pStyle w:val="66"/>
            </w:pPr>
            <w:r>
              <w:t>66.49</w:t>
            </w:r>
          </w:p>
        </w:tc>
        <w:tc>
          <w:tcPr>
            <w:tcW w:w="1128" w:type="dxa"/>
            <w:noWrap/>
            <w:vAlign w:val="center"/>
          </w:tcPr>
          <w:p>
            <w:pPr>
              <w:pStyle w:val="66"/>
            </w:pPr>
            <w:r>
              <w:t>3</w:t>
            </w:r>
          </w:p>
        </w:tc>
        <w:tc>
          <w:tcPr>
            <w:tcW w:w="1448" w:type="dxa"/>
            <w:noWrap/>
            <w:vAlign w:val="center"/>
          </w:tcPr>
          <w:p>
            <w:pPr>
              <w:pStyle w:val="66"/>
            </w:pPr>
            <w:r>
              <w:t>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（1）</w:t>
            </w:r>
          </w:p>
        </w:tc>
        <w:tc>
          <w:tcPr>
            <w:tcW w:w="3404" w:type="dxa"/>
            <w:noWrap/>
            <w:vAlign w:val="center"/>
          </w:tcPr>
          <w:p>
            <w:pPr>
              <w:pStyle w:val="66"/>
            </w:pPr>
            <w:r>
              <w:t>工程复核费</w:t>
            </w:r>
          </w:p>
        </w:tc>
        <w:tc>
          <w:tcPr>
            <w:tcW w:w="1449" w:type="dxa"/>
            <w:noWrap/>
            <w:vAlign w:val="center"/>
          </w:tcPr>
          <w:p>
            <w:pPr>
              <w:pStyle w:val="66"/>
            </w:pPr>
            <w:r>
              <w:t>66.49</w:t>
            </w:r>
          </w:p>
        </w:tc>
        <w:tc>
          <w:tcPr>
            <w:tcW w:w="1128" w:type="dxa"/>
            <w:noWrap/>
            <w:vAlign w:val="center"/>
          </w:tcPr>
          <w:p>
            <w:pPr>
              <w:pStyle w:val="66"/>
            </w:pPr>
            <w:r>
              <w:t>0.6</w:t>
            </w:r>
          </w:p>
        </w:tc>
        <w:tc>
          <w:tcPr>
            <w:tcW w:w="1448" w:type="dxa"/>
            <w:noWrap/>
            <w:vAlign w:val="center"/>
          </w:tcPr>
          <w:p>
            <w:pPr>
              <w:pStyle w:val="66"/>
            </w:pPr>
            <w:r>
              <w:t>0.4</w:t>
            </w:r>
          </w:p>
        </w:tc>
      </w:tr>
      <w:tr>
        <w:tblPrEx>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（2）</w:t>
            </w:r>
          </w:p>
        </w:tc>
        <w:tc>
          <w:tcPr>
            <w:tcW w:w="3404" w:type="dxa"/>
            <w:noWrap/>
            <w:vAlign w:val="center"/>
          </w:tcPr>
          <w:p>
            <w:pPr>
              <w:pStyle w:val="66"/>
            </w:pPr>
            <w:r>
              <w:t>工程验收费</w:t>
            </w:r>
          </w:p>
        </w:tc>
        <w:tc>
          <w:tcPr>
            <w:tcW w:w="1449" w:type="dxa"/>
            <w:noWrap/>
            <w:vAlign w:val="center"/>
          </w:tcPr>
          <w:p>
            <w:pPr>
              <w:pStyle w:val="66"/>
            </w:pPr>
            <w:r>
              <w:t>66.49</w:t>
            </w:r>
          </w:p>
        </w:tc>
        <w:tc>
          <w:tcPr>
            <w:tcW w:w="1128" w:type="dxa"/>
            <w:noWrap/>
            <w:vAlign w:val="center"/>
          </w:tcPr>
          <w:p>
            <w:pPr>
              <w:pStyle w:val="66"/>
            </w:pPr>
            <w:r>
              <w:t>1</w:t>
            </w:r>
          </w:p>
        </w:tc>
        <w:tc>
          <w:tcPr>
            <w:tcW w:w="1448" w:type="dxa"/>
            <w:noWrap/>
            <w:vAlign w:val="center"/>
          </w:tcPr>
          <w:p>
            <w:pPr>
              <w:pStyle w:val="66"/>
            </w:pPr>
            <w:r>
              <w:t>0.66</w:t>
            </w:r>
          </w:p>
        </w:tc>
      </w:tr>
      <w:tr>
        <w:tblPrEx>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（3）</w:t>
            </w:r>
          </w:p>
        </w:tc>
        <w:tc>
          <w:tcPr>
            <w:tcW w:w="3404" w:type="dxa"/>
            <w:noWrap/>
            <w:vAlign w:val="center"/>
          </w:tcPr>
          <w:p>
            <w:pPr>
              <w:pStyle w:val="66"/>
            </w:pPr>
            <w:r>
              <w:t>工程决算的编制与审计费</w:t>
            </w:r>
          </w:p>
        </w:tc>
        <w:tc>
          <w:tcPr>
            <w:tcW w:w="1449" w:type="dxa"/>
            <w:noWrap/>
            <w:vAlign w:val="center"/>
          </w:tcPr>
          <w:p>
            <w:pPr>
              <w:pStyle w:val="66"/>
            </w:pPr>
            <w:r>
              <w:t>66.49</w:t>
            </w:r>
          </w:p>
        </w:tc>
        <w:tc>
          <w:tcPr>
            <w:tcW w:w="1128" w:type="dxa"/>
            <w:noWrap/>
            <w:vAlign w:val="center"/>
          </w:tcPr>
          <w:p>
            <w:pPr>
              <w:pStyle w:val="66"/>
            </w:pPr>
            <w:r>
              <w:t>0.8</w:t>
            </w:r>
          </w:p>
        </w:tc>
        <w:tc>
          <w:tcPr>
            <w:tcW w:w="1448" w:type="dxa"/>
            <w:noWrap/>
            <w:vAlign w:val="center"/>
          </w:tcPr>
          <w:p>
            <w:pPr>
              <w:pStyle w:val="66"/>
            </w:pPr>
            <w:r>
              <w:t>0.53</w:t>
            </w:r>
          </w:p>
        </w:tc>
      </w:tr>
      <w:tr>
        <w:tblPrEx>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（4）</w:t>
            </w:r>
          </w:p>
        </w:tc>
        <w:tc>
          <w:tcPr>
            <w:tcW w:w="3404" w:type="dxa"/>
            <w:noWrap/>
            <w:vAlign w:val="center"/>
          </w:tcPr>
          <w:p>
            <w:pPr>
              <w:pStyle w:val="66"/>
            </w:pPr>
            <w:r>
              <w:t>复垦后土地重估与登记费</w:t>
            </w:r>
          </w:p>
        </w:tc>
        <w:tc>
          <w:tcPr>
            <w:tcW w:w="1449" w:type="dxa"/>
            <w:noWrap/>
            <w:vAlign w:val="center"/>
          </w:tcPr>
          <w:p>
            <w:pPr>
              <w:pStyle w:val="66"/>
            </w:pPr>
            <w:r>
              <w:t>66.49</w:t>
            </w:r>
          </w:p>
        </w:tc>
        <w:tc>
          <w:tcPr>
            <w:tcW w:w="1128" w:type="dxa"/>
            <w:noWrap/>
            <w:vAlign w:val="center"/>
          </w:tcPr>
          <w:p>
            <w:pPr>
              <w:pStyle w:val="66"/>
            </w:pPr>
            <w:r>
              <w:t>0.5</w:t>
            </w:r>
          </w:p>
        </w:tc>
        <w:tc>
          <w:tcPr>
            <w:tcW w:w="1448" w:type="dxa"/>
            <w:noWrap/>
            <w:vAlign w:val="center"/>
          </w:tcPr>
          <w:p>
            <w:pPr>
              <w:pStyle w:val="66"/>
            </w:pPr>
            <w: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（5）</w:t>
            </w:r>
          </w:p>
        </w:tc>
        <w:tc>
          <w:tcPr>
            <w:tcW w:w="3404" w:type="dxa"/>
            <w:noWrap/>
            <w:vAlign w:val="center"/>
          </w:tcPr>
          <w:p>
            <w:pPr>
              <w:pStyle w:val="66"/>
            </w:pPr>
            <w:r>
              <w:t>标识设计费</w:t>
            </w:r>
          </w:p>
        </w:tc>
        <w:tc>
          <w:tcPr>
            <w:tcW w:w="1449" w:type="dxa"/>
            <w:noWrap/>
            <w:vAlign w:val="center"/>
          </w:tcPr>
          <w:p>
            <w:pPr>
              <w:pStyle w:val="66"/>
            </w:pPr>
            <w:r>
              <w:t>66.49</w:t>
            </w:r>
          </w:p>
        </w:tc>
        <w:tc>
          <w:tcPr>
            <w:tcW w:w="1128" w:type="dxa"/>
            <w:noWrap/>
            <w:vAlign w:val="center"/>
          </w:tcPr>
          <w:p>
            <w:pPr>
              <w:pStyle w:val="66"/>
            </w:pPr>
            <w:r>
              <w:t>0.1</w:t>
            </w:r>
          </w:p>
        </w:tc>
        <w:tc>
          <w:tcPr>
            <w:tcW w:w="1448" w:type="dxa"/>
            <w:noWrap/>
            <w:vAlign w:val="center"/>
          </w:tcPr>
          <w:p>
            <w:pPr>
              <w:pStyle w:val="66"/>
            </w:pPr>
            <w: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81" w:type="dxa"/>
            <w:noWrap/>
            <w:vAlign w:val="center"/>
          </w:tcPr>
          <w:p>
            <w:pPr>
              <w:pStyle w:val="66"/>
            </w:pPr>
            <w:r>
              <w:t>4</w:t>
            </w:r>
          </w:p>
        </w:tc>
        <w:tc>
          <w:tcPr>
            <w:tcW w:w="3404" w:type="dxa"/>
            <w:noWrap/>
            <w:vAlign w:val="center"/>
          </w:tcPr>
          <w:p>
            <w:pPr>
              <w:pStyle w:val="66"/>
            </w:pPr>
            <w:r>
              <w:t>业主管理费</w:t>
            </w:r>
          </w:p>
        </w:tc>
        <w:tc>
          <w:tcPr>
            <w:tcW w:w="1449" w:type="dxa"/>
            <w:noWrap/>
            <w:vAlign w:val="center"/>
          </w:tcPr>
          <w:p>
            <w:pPr>
              <w:pStyle w:val="66"/>
            </w:pPr>
            <w:r>
              <w:t>73.46</w:t>
            </w:r>
          </w:p>
        </w:tc>
        <w:tc>
          <w:tcPr>
            <w:tcW w:w="1128" w:type="dxa"/>
            <w:noWrap/>
            <w:vAlign w:val="center"/>
          </w:tcPr>
          <w:p>
            <w:pPr>
              <w:pStyle w:val="66"/>
            </w:pPr>
            <w:r>
              <w:t>2</w:t>
            </w:r>
          </w:p>
        </w:tc>
        <w:tc>
          <w:tcPr>
            <w:tcW w:w="1448" w:type="dxa"/>
            <w:noWrap/>
            <w:vAlign w:val="center"/>
          </w:tcPr>
          <w:p>
            <w:pPr>
              <w:pStyle w:val="66"/>
            </w:pPr>
            <w: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6862" w:type="dxa"/>
            <w:gridSpan w:val="4"/>
            <w:noWrap/>
            <w:vAlign w:val="center"/>
          </w:tcPr>
          <w:p>
            <w:pPr>
              <w:pStyle w:val="66"/>
            </w:pPr>
            <w:r>
              <w:t>合计</w:t>
            </w:r>
          </w:p>
        </w:tc>
        <w:tc>
          <w:tcPr>
            <w:tcW w:w="1448" w:type="dxa"/>
            <w:noWrap/>
            <w:vAlign w:val="center"/>
          </w:tcPr>
          <w:p>
            <w:pPr>
              <w:pStyle w:val="66"/>
            </w:pPr>
            <w:r>
              <w:t>8.44</w:t>
            </w:r>
          </w:p>
        </w:tc>
      </w:tr>
    </w:tbl>
    <w:p>
      <w:pPr>
        <w:pStyle w:val="68"/>
        <w:ind w:firstLine="420"/>
      </w:pPr>
    </w:p>
    <w:p>
      <w:pPr>
        <w:pStyle w:val="68"/>
        <w:ind w:firstLine="420"/>
      </w:pPr>
    </w:p>
    <w:p>
      <w:pPr>
        <w:pStyle w:val="68"/>
        <w:ind w:firstLine="420"/>
      </w:pPr>
      <w:r>
        <w:t>表7管护费用估算表</w:t>
      </w:r>
    </w:p>
    <w:tbl>
      <w:tblPr>
        <w:tblStyle w:val="35"/>
        <w:tblW w:w="83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094"/>
        <w:gridCol w:w="2354"/>
        <w:gridCol w:w="889"/>
        <w:gridCol w:w="957"/>
        <w:gridCol w:w="1085"/>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582" w:type="dxa"/>
            <w:vAlign w:val="center"/>
          </w:tcPr>
          <w:p>
            <w:pPr>
              <w:pStyle w:val="66"/>
            </w:pPr>
            <w:r>
              <w:t>序号</w:t>
            </w:r>
          </w:p>
        </w:tc>
        <w:tc>
          <w:tcPr>
            <w:tcW w:w="1094" w:type="dxa"/>
            <w:vAlign w:val="center"/>
          </w:tcPr>
          <w:p>
            <w:pPr>
              <w:pStyle w:val="66"/>
            </w:pPr>
            <w:r>
              <w:t>定额编号</w:t>
            </w:r>
          </w:p>
        </w:tc>
        <w:tc>
          <w:tcPr>
            <w:tcW w:w="2354" w:type="dxa"/>
            <w:vAlign w:val="center"/>
          </w:tcPr>
          <w:p>
            <w:pPr>
              <w:pStyle w:val="66"/>
            </w:pPr>
            <w:r>
              <w:t>分项名称</w:t>
            </w:r>
          </w:p>
        </w:tc>
        <w:tc>
          <w:tcPr>
            <w:tcW w:w="889" w:type="dxa"/>
            <w:vAlign w:val="center"/>
          </w:tcPr>
          <w:p>
            <w:pPr>
              <w:pStyle w:val="66"/>
            </w:pPr>
            <w:r>
              <w:t>计算单位</w:t>
            </w:r>
          </w:p>
        </w:tc>
        <w:tc>
          <w:tcPr>
            <w:tcW w:w="957" w:type="dxa"/>
            <w:vAlign w:val="center"/>
          </w:tcPr>
          <w:p>
            <w:pPr>
              <w:pStyle w:val="66"/>
            </w:pPr>
            <w:r>
              <w:t>工程量</w:t>
            </w:r>
          </w:p>
        </w:tc>
        <w:tc>
          <w:tcPr>
            <w:tcW w:w="1085" w:type="dxa"/>
            <w:vAlign w:val="center"/>
          </w:tcPr>
          <w:p>
            <w:pPr>
              <w:pStyle w:val="66"/>
            </w:pPr>
            <w:r>
              <w:t>综合单价</w:t>
            </w:r>
          </w:p>
        </w:tc>
        <w:tc>
          <w:tcPr>
            <w:tcW w:w="1344" w:type="dxa"/>
            <w:vAlign w:val="center"/>
          </w:tcPr>
          <w:p>
            <w:pPr>
              <w:pStyle w:val="66"/>
            </w:pPr>
            <w: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82" w:type="dxa"/>
            <w:noWrap/>
            <w:vAlign w:val="center"/>
          </w:tcPr>
          <w:p>
            <w:pPr>
              <w:pStyle w:val="66"/>
            </w:pPr>
            <w:r>
              <w:t>1</w:t>
            </w:r>
          </w:p>
        </w:tc>
        <w:tc>
          <w:tcPr>
            <w:tcW w:w="1094" w:type="dxa"/>
            <w:noWrap/>
            <w:vAlign w:val="center"/>
          </w:tcPr>
          <w:p>
            <w:pPr>
              <w:pStyle w:val="66"/>
            </w:pPr>
            <w:r>
              <w:t>90013</w:t>
            </w:r>
          </w:p>
        </w:tc>
        <w:tc>
          <w:tcPr>
            <w:tcW w:w="2354" w:type="dxa"/>
            <w:noWrap/>
            <w:vAlign w:val="center"/>
          </w:tcPr>
          <w:p>
            <w:pPr>
              <w:pStyle w:val="66"/>
            </w:pPr>
            <w:r>
              <w:t>栽植灌木-（红柳、梭梭）</w:t>
            </w:r>
          </w:p>
        </w:tc>
        <w:tc>
          <w:tcPr>
            <w:tcW w:w="889" w:type="dxa"/>
            <w:noWrap/>
            <w:vAlign w:val="center"/>
          </w:tcPr>
          <w:p>
            <w:pPr>
              <w:pStyle w:val="66"/>
            </w:pPr>
            <w:r>
              <w:t>株</w:t>
            </w:r>
          </w:p>
        </w:tc>
        <w:tc>
          <w:tcPr>
            <w:tcW w:w="957" w:type="dxa"/>
            <w:noWrap/>
            <w:vAlign w:val="center"/>
          </w:tcPr>
          <w:p>
            <w:pPr>
              <w:pStyle w:val="66"/>
            </w:pPr>
            <w:r>
              <w:t>9592</w:t>
            </w:r>
          </w:p>
        </w:tc>
        <w:tc>
          <w:tcPr>
            <w:tcW w:w="1085" w:type="dxa"/>
            <w:noWrap/>
            <w:vAlign w:val="center"/>
          </w:tcPr>
          <w:p>
            <w:pPr>
              <w:pStyle w:val="66"/>
            </w:pPr>
            <w:r>
              <w:t>3.97</w:t>
            </w:r>
          </w:p>
        </w:tc>
        <w:tc>
          <w:tcPr>
            <w:tcW w:w="1344" w:type="dxa"/>
            <w:noWrap/>
            <w:vAlign w:val="center"/>
          </w:tcPr>
          <w:p>
            <w:pPr>
              <w:pStyle w:val="66"/>
            </w:pPr>
            <w:r>
              <w:t>38080.24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82" w:type="dxa"/>
            <w:noWrap/>
            <w:vAlign w:val="center"/>
          </w:tcPr>
          <w:p>
            <w:pPr>
              <w:pStyle w:val="66"/>
            </w:pPr>
            <w:r>
              <w:t>2</w:t>
            </w:r>
          </w:p>
        </w:tc>
        <w:tc>
          <w:tcPr>
            <w:tcW w:w="1094" w:type="dxa"/>
            <w:noWrap/>
            <w:vAlign w:val="center"/>
          </w:tcPr>
          <w:p>
            <w:pPr>
              <w:pStyle w:val="66"/>
            </w:pPr>
            <w:r>
              <w:t>90030</w:t>
            </w:r>
          </w:p>
        </w:tc>
        <w:tc>
          <w:tcPr>
            <w:tcW w:w="2354" w:type="dxa"/>
            <w:noWrap/>
            <w:vAlign w:val="center"/>
          </w:tcPr>
          <w:p>
            <w:pPr>
              <w:pStyle w:val="66"/>
            </w:pPr>
            <w:r>
              <w:t>撒</w:t>
            </w:r>
            <w:r>
              <w:rPr>
                <w:rFonts w:ascii="仿宋" w:hAnsi="仿宋"/>
              </w:rPr>
              <w:t>播草籽(芨芨草、骆驼刺、盐爪爪)</w:t>
            </w:r>
          </w:p>
        </w:tc>
        <w:tc>
          <w:tcPr>
            <w:tcW w:w="889" w:type="dxa"/>
            <w:noWrap/>
            <w:vAlign w:val="center"/>
          </w:tcPr>
          <w:p>
            <w:pPr>
              <w:pStyle w:val="66"/>
            </w:pPr>
            <w:r>
              <w:t>hm</w:t>
            </w:r>
            <w:r>
              <w:rPr>
                <w:vertAlign w:val="superscript"/>
              </w:rPr>
              <w:t>2</w:t>
            </w:r>
          </w:p>
        </w:tc>
        <w:tc>
          <w:tcPr>
            <w:tcW w:w="957" w:type="dxa"/>
            <w:noWrap/>
            <w:vAlign w:val="center"/>
          </w:tcPr>
          <w:p>
            <w:pPr>
              <w:pStyle w:val="66"/>
            </w:pPr>
            <w:r>
              <w:t>0.1785</w:t>
            </w:r>
          </w:p>
        </w:tc>
        <w:tc>
          <w:tcPr>
            <w:tcW w:w="1085" w:type="dxa"/>
            <w:noWrap/>
            <w:vAlign w:val="center"/>
          </w:tcPr>
          <w:p>
            <w:pPr>
              <w:pStyle w:val="66"/>
            </w:pPr>
            <w:r>
              <w:t>2579.29</w:t>
            </w:r>
          </w:p>
        </w:tc>
        <w:tc>
          <w:tcPr>
            <w:tcW w:w="1344" w:type="dxa"/>
            <w:noWrap/>
            <w:vAlign w:val="center"/>
          </w:tcPr>
          <w:p>
            <w:pPr>
              <w:pStyle w:val="66"/>
            </w:pPr>
            <w:r>
              <w:t>460.4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82" w:type="dxa"/>
            <w:noWrap/>
            <w:vAlign w:val="center"/>
          </w:tcPr>
          <w:p>
            <w:pPr>
              <w:pStyle w:val="66"/>
            </w:pPr>
            <w:r>
              <w:t>3</w:t>
            </w:r>
          </w:p>
        </w:tc>
        <w:tc>
          <w:tcPr>
            <w:tcW w:w="1094" w:type="dxa"/>
            <w:noWrap/>
            <w:vAlign w:val="center"/>
          </w:tcPr>
          <w:p>
            <w:pPr>
              <w:pStyle w:val="66"/>
            </w:pPr>
            <w:r>
              <w:t>补003</w:t>
            </w:r>
          </w:p>
        </w:tc>
        <w:tc>
          <w:tcPr>
            <w:tcW w:w="2354" w:type="dxa"/>
            <w:noWrap/>
            <w:vAlign w:val="center"/>
          </w:tcPr>
          <w:p>
            <w:pPr>
              <w:pStyle w:val="66"/>
            </w:pPr>
            <w:r>
              <w:t>洒水</w:t>
            </w:r>
          </w:p>
        </w:tc>
        <w:tc>
          <w:tcPr>
            <w:tcW w:w="889" w:type="dxa"/>
            <w:noWrap/>
            <w:vAlign w:val="center"/>
          </w:tcPr>
          <w:p>
            <w:pPr>
              <w:pStyle w:val="66"/>
            </w:pPr>
            <w:r>
              <w:t>hm</w:t>
            </w:r>
            <w:r>
              <w:rPr>
                <w:vertAlign w:val="superscript"/>
              </w:rPr>
              <w:t>2</w:t>
            </w:r>
          </w:p>
        </w:tc>
        <w:tc>
          <w:tcPr>
            <w:tcW w:w="957" w:type="dxa"/>
            <w:noWrap/>
            <w:vAlign w:val="center"/>
          </w:tcPr>
          <w:p>
            <w:pPr>
              <w:pStyle w:val="66"/>
            </w:pPr>
            <w:r>
              <w:t>4.6599</w:t>
            </w:r>
          </w:p>
        </w:tc>
        <w:tc>
          <w:tcPr>
            <w:tcW w:w="1085" w:type="dxa"/>
            <w:noWrap/>
            <w:vAlign w:val="center"/>
          </w:tcPr>
          <w:p>
            <w:pPr>
              <w:pStyle w:val="66"/>
            </w:pPr>
            <w:r>
              <w:t>5918.31</w:t>
            </w:r>
          </w:p>
        </w:tc>
        <w:tc>
          <w:tcPr>
            <w:tcW w:w="1344" w:type="dxa"/>
            <w:noWrap/>
            <w:vAlign w:val="center"/>
          </w:tcPr>
          <w:p>
            <w:pPr>
              <w:pStyle w:val="66"/>
            </w:pPr>
            <w:r>
              <w:t>27578.73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961" w:type="dxa"/>
            <w:gridSpan w:val="6"/>
            <w:noWrap/>
            <w:vAlign w:val="center"/>
          </w:tcPr>
          <w:p>
            <w:pPr>
              <w:pStyle w:val="66"/>
            </w:pPr>
            <w:r>
              <w:t>合计</w:t>
            </w:r>
          </w:p>
        </w:tc>
        <w:tc>
          <w:tcPr>
            <w:tcW w:w="1344" w:type="dxa"/>
            <w:noWrap/>
            <w:vAlign w:val="center"/>
          </w:tcPr>
          <w:p>
            <w:pPr>
              <w:pStyle w:val="66"/>
            </w:pPr>
            <w:r>
              <w:t xml:space="preserve">66119.37 </w:t>
            </w:r>
          </w:p>
        </w:tc>
      </w:tr>
    </w:tbl>
    <w:p>
      <w:pPr>
        <w:pStyle w:val="68"/>
        <w:ind w:firstLine="420"/>
      </w:pPr>
    </w:p>
    <w:p>
      <w:pPr>
        <w:pStyle w:val="68"/>
        <w:ind w:firstLine="420"/>
      </w:pPr>
      <w:r>
        <w:t>表8监测费用估算表</w:t>
      </w:r>
    </w:p>
    <w:tbl>
      <w:tblPr>
        <w:tblStyle w:val="35"/>
        <w:tblW w:w="83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2106"/>
        <w:gridCol w:w="846"/>
        <w:gridCol w:w="1115"/>
        <w:gridCol w:w="1223"/>
        <w:gridCol w:w="1325"/>
        <w:gridCol w:w="1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568" w:type="dxa"/>
            <w:gridSpan w:val="2"/>
            <w:vMerge w:val="restart"/>
            <w:noWrap/>
            <w:vAlign w:val="center"/>
          </w:tcPr>
          <w:p>
            <w:pPr>
              <w:pStyle w:val="66"/>
            </w:pPr>
            <w:r>
              <w:t>监测内容</w:t>
            </w:r>
          </w:p>
        </w:tc>
        <w:tc>
          <w:tcPr>
            <w:tcW w:w="846" w:type="dxa"/>
            <w:noWrap/>
            <w:vAlign w:val="center"/>
          </w:tcPr>
          <w:p>
            <w:pPr>
              <w:pStyle w:val="66"/>
            </w:pPr>
            <w:r>
              <w:t>数量</w:t>
            </w:r>
          </w:p>
        </w:tc>
        <w:tc>
          <w:tcPr>
            <w:tcW w:w="1115" w:type="dxa"/>
            <w:noWrap/>
            <w:vAlign w:val="center"/>
          </w:tcPr>
          <w:p>
            <w:pPr>
              <w:pStyle w:val="66"/>
            </w:pPr>
            <w:r>
              <w:t>频率</w:t>
            </w:r>
          </w:p>
        </w:tc>
        <w:tc>
          <w:tcPr>
            <w:tcW w:w="1223" w:type="dxa"/>
            <w:noWrap/>
            <w:vAlign w:val="center"/>
          </w:tcPr>
          <w:p>
            <w:pPr>
              <w:pStyle w:val="66"/>
            </w:pPr>
            <w:r>
              <w:t>年限</w:t>
            </w:r>
          </w:p>
        </w:tc>
        <w:tc>
          <w:tcPr>
            <w:tcW w:w="1325" w:type="dxa"/>
            <w:noWrap/>
            <w:vAlign w:val="center"/>
          </w:tcPr>
          <w:p>
            <w:pPr>
              <w:pStyle w:val="66"/>
            </w:pPr>
            <w:r>
              <w:t>单价</w:t>
            </w:r>
          </w:p>
        </w:tc>
        <w:tc>
          <w:tcPr>
            <w:tcW w:w="1228" w:type="dxa"/>
            <w:noWrap/>
            <w:vAlign w:val="center"/>
          </w:tcPr>
          <w:p>
            <w:pPr>
              <w:pStyle w:val="66"/>
            </w:pPr>
            <w: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2568" w:type="dxa"/>
            <w:gridSpan w:val="2"/>
            <w:vMerge w:val="continue"/>
            <w:vAlign w:val="center"/>
          </w:tcPr>
          <w:p>
            <w:pPr>
              <w:pStyle w:val="66"/>
            </w:pPr>
          </w:p>
        </w:tc>
        <w:tc>
          <w:tcPr>
            <w:tcW w:w="846" w:type="dxa"/>
            <w:noWrap/>
            <w:vAlign w:val="center"/>
          </w:tcPr>
          <w:p>
            <w:pPr>
              <w:pStyle w:val="66"/>
            </w:pPr>
            <w:r>
              <w:t>（个）</w:t>
            </w:r>
          </w:p>
        </w:tc>
        <w:tc>
          <w:tcPr>
            <w:tcW w:w="1115" w:type="dxa"/>
            <w:noWrap/>
            <w:vAlign w:val="center"/>
          </w:tcPr>
          <w:p>
            <w:pPr>
              <w:pStyle w:val="66"/>
            </w:pPr>
            <w:r>
              <w:t>（次/年）</w:t>
            </w:r>
          </w:p>
        </w:tc>
        <w:tc>
          <w:tcPr>
            <w:tcW w:w="1223" w:type="dxa"/>
            <w:noWrap/>
            <w:vAlign w:val="center"/>
          </w:tcPr>
          <w:p>
            <w:pPr>
              <w:pStyle w:val="66"/>
            </w:pPr>
            <w:r>
              <w:t>（年）</w:t>
            </w:r>
          </w:p>
        </w:tc>
        <w:tc>
          <w:tcPr>
            <w:tcW w:w="1325" w:type="dxa"/>
            <w:noWrap/>
            <w:vAlign w:val="center"/>
          </w:tcPr>
          <w:p>
            <w:pPr>
              <w:pStyle w:val="66"/>
            </w:pPr>
            <w:r>
              <w:t>（万元/个）</w:t>
            </w:r>
          </w:p>
        </w:tc>
        <w:tc>
          <w:tcPr>
            <w:tcW w:w="1228" w:type="dxa"/>
            <w:noWrap/>
            <w:vAlign w:val="center"/>
          </w:tcPr>
          <w:p>
            <w:pPr>
              <w:pStyle w:val="66"/>
            </w:pPr>
            <w: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462" w:type="dxa"/>
            <w:vMerge w:val="restart"/>
            <w:vAlign w:val="center"/>
          </w:tcPr>
          <w:p>
            <w:pPr>
              <w:pStyle w:val="66"/>
            </w:pPr>
            <w:r>
              <w:t>项目区</w:t>
            </w:r>
          </w:p>
        </w:tc>
        <w:tc>
          <w:tcPr>
            <w:tcW w:w="2106" w:type="dxa"/>
            <w:noWrap/>
            <w:vAlign w:val="center"/>
          </w:tcPr>
          <w:p>
            <w:pPr>
              <w:pStyle w:val="66"/>
            </w:pPr>
            <w:r>
              <w:t>林地植被恢复监测点</w:t>
            </w:r>
          </w:p>
        </w:tc>
        <w:tc>
          <w:tcPr>
            <w:tcW w:w="846" w:type="dxa"/>
            <w:noWrap/>
            <w:vAlign w:val="center"/>
          </w:tcPr>
          <w:p>
            <w:pPr>
              <w:pStyle w:val="66"/>
            </w:pPr>
            <w:r>
              <w:t>2</w:t>
            </w:r>
          </w:p>
        </w:tc>
        <w:tc>
          <w:tcPr>
            <w:tcW w:w="1115" w:type="dxa"/>
            <w:noWrap/>
            <w:vAlign w:val="center"/>
          </w:tcPr>
          <w:p>
            <w:pPr>
              <w:pStyle w:val="66"/>
            </w:pPr>
            <w:r>
              <w:t>2</w:t>
            </w:r>
          </w:p>
        </w:tc>
        <w:tc>
          <w:tcPr>
            <w:tcW w:w="1223" w:type="dxa"/>
            <w:noWrap/>
            <w:vAlign w:val="center"/>
          </w:tcPr>
          <w:p>
            <w:pPr>
              <w:pStyle w:val="66"/>
            </w:pPr>
            <w:r>
              <w:t>3</w:t>
            </w:r>
          </w:p>
        </w:tc>
        <w:tc>
          <w:tcPr>
            <w:tcW w:w="1325" w:type="dxa"/>
            <w:noWrap/>
            <w:vAlign w:val="center"/>
          </w:tcPr>
          <w:p>
            <w:pPr>
              <w:pStyle w:val="66"/>
            </w:pPr>
            <w:r>
              <w:t>0.03</w:t>
            </w:r>
          </w:p>
        </w:tc>
        <w:tc>
          <w:tcPr>
            <w:tcW w:w="1228" w:type="dxa"/>
            <w:noWrap/>
            <w:vAlign w:val="center"/>
          </w:tcPr>
          <w:p>
            <w:pPr>
              <w:pStyle w:val="66"/>
            </w:pPr>
            <w: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462" w:type="dxa"/>
            <w:vMerge w:val="continue"/>
            <w:vAlign w:val="center"/>
          </w:tcPr>
          <w:p>
            <w:pPr>
              <w:pStyle w:val="66"/>
            </w:pPr>
          </w:p>
        </w:tc>
        <w:tc>
          <w:tcPr>
            <w:tcW w:w="2106" w:type="dxa"/>
            <w:noWrap/>
            <w:vAlign w:val="center"/>
          </w:tcPr>
          <w:p>
            <w:pPr>
              <w:pStyle w:val="66"/>
            </w:pPr>
            <w:r>
              <w:t>草地植被恢复监测点</w:t>
            </w:r>
          </w:p>
        </w:tc>
        <w:tc>
          <w:tcPr>
            <w:tcW w:w="846" w:type="dxa"/>
            <w:noWrap/>
            <w:vAlign w:val="center"/>
          </w:tcPr>
          <w:p>
            <w:pPr>
              <w:pStyle w:val="66"/>
            </w:pPr>
            <w:r>
              <w:t>1</w:t>
            </w:r>
          </w:p>
        </w:tc>
        <w:tc>
          <w:tcPr>
            <w:tcW w:w="1115" w:type="dxa"/>
            <w:noWrap/>
            <w:vAlign w:val="center"/>
          </w:tcPr>
          <w:p>
            <w:pPr>
              <w:pStyle w:val="66"/>
            </w:pPr>
            <w:r>
              <w:t>2</w:t>
            </w:r>
          </w:p>
        </w:tc>
        <w:tc>
          <w:tcPr>
            <w:tcW w:w="1223" w:type="dxa"/>
            <w:noWrap/>
            <w:vAlign w:val="center"/>
          </w:tcPr>
          <w:p>
            <w:pPr>
              <w:pStyle w:val="66"/>
            </w:pPr>
            <w:r>
              <w:t>3</w:t>
            </w:r>
          </w:p>
        </w:tc>
        <w:tc>
          <w:tcPr>
            <w:tcW w:w="1325" w:type="dxa"/>
            <w:noWrap/>
            <w:vAlign w:val="center"/>
          </w:tcPr>
          <w:p>
            <w:pPr>
              <w:pStyle w:val="66"/>
            </w:pPr>
            <w:r>
              <w:t>0.03</w:t>
            </w:r>
          </w:p>
        </w:tc>
        <w:tc>
          <w:tcPr>
            <w:tcW w:w="1228" w:type="dxa"/>
            <w:noWrap/>
            <w:vAlign w:val="center"/>
          </w:tcPr>
          <w:p>
            <w:pPr>
              <w:pStyle w:val="66"/>
            </w:pPr>
            <w: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jc w:val="center"/>
        </w:trPr>
        <w:tc>
          <w:tcPr>
            <w:tcW w:w="462" w:type="dxa"/>
            <w:vMerge w:val="continue"/>
            <w:vAlign w:val="center"/>
          </w:tcPr>
          <w:p>
            <w:pPr>
              <w:pStyle w:val="66"/>
            </w:pPr>
          </w:p>
        </w:tc>
        <w:tc>
          <w:tcPr>
            <w:tcW w:w="2106" w:type="dxa"/>
            <w:noWrap/>
            <w:vAlign w:val="center"/>
          </w:tcPr>
          <w:p>
            <w:pPr>
              <w:pStyle w:val="66"/>
            </w:pPr>
            <w:r>
              <w:t>合计</w:t>
            </w:r>
          </w:p>
        </w:tc>
        <w:tc>
          <w:tcPr>
            <w:tcW w:w="846" w:type="dxa"/>
            <w:noWrap/>
            <w:vAlign w:val="center"/>
          </w:tcPr>
          <w:p>
            <w:pPr>
              <w:pStyle w:val="66"/>
            </w:pPr>
          </w:p>
        </w:tc>
        <w:tc>
          <w:tcPr>
            <w:tcW w:w="1115" w:type="dxa"/>
            <w:noWrap/>
            <w:vAlign w:val="center"/>
          </w:tcPr>
          <w:p>
            <w:pPr>
              <w:pStyle w:val="66"/>
            </w:pPr>
          </w:p>
        </w:tc>
        <w:tc>
          <w:tcPr>
            <w:tcW w:w="1223" w:type="dxa"/>
            <w:noWrap/>
            <w:vAlign w:val="center"/>
          </w:tcPr>
          <w:p>
            <w:pPr>
              <w:pStyle w:val="66"/>
            </w:pPr>
          </w:p>
        </w:tc>
        <w:tc>
          <w:tcPr>
            <w:tcW w:w="1325" w:type="dxa"/>
            <w:noWrap/>
            <w:vAlign w:val="center"/>
          </w:tcPr>
          <w:p>
            <w:pPr>
              <w:pStyle w:val="66"/>
            </w:pPr>
          </w:p>
        </w:tc>
        <w:tc>
          <w:tcPr>
            <w:tcW w:w="1228" w:type="dxa"/>
            <w:noWrap/>
            <w:vAlign w:val="center"/>
          </w:tcPr>
          <w:p>
            <w:pPr>
              <w:pStyle w:val="66"/>
            </w:pPr>
            <w:r>
              <w:t>0.54</w:t>
            </w:r>
          </w:p>
        </w:tc>
      </w:tr>
    </w:tbl>
    <w:p>
      <w:pPr>
        <w:adjustRightInd w:val="0"/>
        <w:snapToGrid w:val="0"/>
        <w:spacing w:after="0" w:line="240" w:lineRule="auto"/>
        <w:ind w:firstLine="420"/>
        <w:jc w:val="center"/>
        <w:textAlignment w:val="baseline"/>
        <w:rPr>
          <w:rFonts w:ascii="Times New Roman" w:hAnsi="Times New Roman" w:eastAsia="黑体"/>
          <w:kern w:val="2"/>
          <w:sz w:val="21"/>
          <w:szCs w:val="24"/>
          <w:lang w:eastAsia="zh-CN"/>
        </w:rPr>
      </w:pPr>
    </w:p>
    <w:p>
      <w:pPr>
        <w:pStyle w:val="68"/>
        <w:ind w:firstLine="420"/>
      </w:pPr>
      <w:r>
        <w:t>表9土地复垦预备费估算表</w:t>
      </w:r>
    </w:p>
    <w:tbl>
      <w:tblPr>
        <w:tblStyle w:val="35"/>
        <w:tblW w:w="83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373"/>
        <w:gridCol w:w="2071"/>
        <w:gridCol w:w="1822"/>
        <w:gridCol w:w="1037"/>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87" w:type="dxa"/>
            <w:noWrap/>
            <w:vAlign w:val="center"/>
          </w:tcPr>
          <w:p>
            <w:pPr>
              <w:pStyle w:val="66"/>
            </w:pPr>
            <w:r>
              <w:t>序号</w:t>
            </w:r>
          </w:p>
        </w:tc>
        <w:tc>
          <w:tcPr>
            <w:tcW w:w="1373" w:type="dxa"/>
            <w:noWrap/>
            <w:vAlign w:val="center"/>
          </w:tcPr>
          <w:p>
            <w:pPr>
              <w:pStyle w:val="66"/>
            </w:pPr>
            <w:r>
              <w:t>费用名称</w:t>
            </w:r>
          </w:p>
        </w:tc>
        <w:tc>
          <w:tcPr>
            <w:tcW w:w="2071" w:type="dxa"/>
            <w:noWrap/>
            <w:vAlign w:val="center"/>
          </w:tcPr>
          <w:p>
            <w:pPr>
              <w:pStyle w:val="66"/>
            </w:pPr>
            <w:r>
              <w:t>工程施工费/万元</w:t>
            </w:r>
          </w:p>
        </w:tc>
        <w:tc>
          <w:tcPr>
            <w:tcW w:w="1822" w:type="dxa"/>
            <w:noWrap/>
            <w:vAlign w:val="center"/>
          </w:tcPr>
          <w:p>
            <w:pPr>
              <w:pStyle w:val="66"/>
            </w:pPr>
            <w:r>
              <w:t>其他费用/万元</w:t>
            </w:r>
          </w:p>
        </w:tc>
        <w:tc>
          <w:tcPr>
            <w:tcW w:w="1037" w:type="dxa"/>
            <w:noWrap/>
            <w:vAlign w:val="center"/>
          </w:tcPr>
          <w:p>
            <w:pPr>
              <w:pStyle w:val="66"/>
            </w:pPr>
            <w:r>
              <w:t>费率/%</w:t>
            </w:r>
          </w:p>
        </w:tc>
        <w:tc>
          <w:tcPr>
            <w:tcW w:w="1320" w:type="dxa"/>
            <w:noWrap/>
            <w:vAlign w:val="center"/>
          </w:tcPr>
          <w:p>
            <w:pPr>
              <w:pStyle w:val="66"/>
            </w:pPr>
            <w:r>
              <w:t>合计/万元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87" w:type="dxa"/>
            <w:noWrap/>
            <w:vAlign w:val="center"/>
          </w:tcPr>
          <w:p>
            <w:pPr>
              <w:pStyle w:val="66"/>
            </w:pPr>
            <w:r>
              <w:t>1</w:t>
            </w:r>
          </w:p>
        </w:tc>
        <w:tc>
          <w:tcPr>
            <w:tcW w:w="1373" w:type="dxa"/>
            <w:noWrap/>
            <w:vAlign w:val="center"/>
          </w:tcPr>
          <w:p>
            <w:pPr>
              <w:pStyle w:val="66"/>
            </w:pPr>
            <w:r>
              <w:t>基本预备费</w:t>
            </w:r>
          </w:p>
        </w:tc>
        <w:tc>
          <w:tcPr>
            <w:tcW w:w="2071" w:type="dxa"/>
            <w:noWrap/>
            <w:vAlign w:val="center"/>
          </w:tcPr>
          <w:p>
            <w:pPr>
              <w:pStyle w:val="66"/>
            </w:pPr>
            <w:r>
              <w:t>66.49</w:t>
            </w:r>
          </w:p>
        </w:tc>
        <w:tc>
          <w:tcPr>
            <w:tcW w:w="1822" w:type="dxa"/>
            <w:noWrap/>
            <w:vAlign w:val="center"/>
          </w:tcPr>
          <w:p>
            <w:pPr>
              <w:pStyle w:val="66"/>
            </w:pPr>
            <w:r>
              <w:t>8.44</w:t>
            </w:r>
          </w:p>
        </w:tc>
        <w:tc>
          <w:tcPr>
            <w:tcW w:w="1037" w:type="dxa"/>
            <w:noWrap/>
            <w:vAlign w:val="center"/>
          </w:tcPr>
          <w:p>
            <w:pPr>
              <w:pStyle w:val="66"/>
            </w:pPr>
            <w:r>
              <w:t xml:space="preserve">3.00 </w:t>
            </w:r>
          </w:p>
        </w:tc>
        <w:tc>
          <w:tcPr>
            <w:tcW w:w="1320" w:type="dxa"/>
            <w:noWrap/>
            <w:vAlign w:val="center"/>
          </w:tcPr>
          <w:p>
            <w:pPr>
              <w:pStyle w:val="66"/>
            </w:pPr>
            <w: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87" w:type="dxa"/>
            <w:noWrap/>
            <w:vAlign w:val="center"/>
          </w:tcPr>
          <w:p>
            <w:pPr>
              <w:pStyle w:val="66"/>
            </w:pPr>
            <w:r>
              <w:t>2</w:t>
            </w:r>
          </w:p>
        </w:tc>
        <w:tc>
          <w:tcPr>
            <w:tcW w:w="1373" w:type="dxa"/>
            <w:noWrap/>
            <w:vAlign w:val="center"/>
          </w:tcPr>
          <w:p>
            <w:pPr>
              <w:pStyle w:val="66"/>
            </w:pPr>
            <w:r>
              <w:t>价差预备费</w:t>
            </w:r>
          </w:p>
        </w:tc>
        <w:tc>
          <w:tcPr>
            <w:tcW w:w="2071" w:type="dxa"/>
            <w:noWrap/>
            <w:vAlign w:val="center"/>
          </w:tcPr>
          <w:p>
            <w:pPr>
              <w:pStyle w:val="66"/>
            </w:pPr>
          </w:p>
        </w:tc>
        <w:tc>
          <w:tcPr>
            <w:tcW w:w="1822" w:type="dxa"/>
            <w:noWrap/>
            <w:vAlign w:val="center"/>
          </w:tcPr>
          <w:p>
            <w:pPr>
              <w:pStyle w:val="66"/>
            </w:pPr>
          </w:p>
        </w:tc>
        <w:tc>
          <w:tcPr>
            <w:tcW w:w="1037" w:type="dxa"/>
            <w:noWrap/>
            <w:vAlign w:val="center"/>
          </w:tcPr>
          <w:p>
            <w:pPr>
              <w:pStyle w:val="66"/>
            </w:pPr>
          </w:p>
        </w:tc>
        <w:tc>
          <w:tcPr>
            <w:tcW w:w="1320" w:type="dxa"/>
            <w:noWrap/>
            <w:vAlign w:val="center"/>
          </w:tcPr>
          <w:p>
            <w:pPr>
              <w:pStyle w:val="66"/>
            </w:pPr>
          </w:p>
        </w:tc>
      </w:tr>
      <w:tr>
        <w:tblPrEx>
          <w:tblLayout w:type="fixed"/>
          <w:tblCellMar>
            <w:top w:w="0" w:type="dxa"/>
            <w:left w:w="108" w:type="dxa"/>
            <w:bottom w:w="0" w:type="dxa"/>
            <w:right w:w="108" w:type="dxa"/>
          </w:tblCellMar>
        </w:tblPrEx>
        <w:trPr>
          <w:trHeight w:val="340" w:hRule="atLeast"/>
          <w:jc w:val="center"/>
        </w:trPr>
        <w:tc>
          <w:tcPr>
            <w:tcW w:w="687" w:type="dxa"/>
            <w:noWrap/>
            <w:vAlign w:val="center"/>
          </w:tcPr>
          <w:p>
            <w:pPr>
              <w:pStyle w:val="66"/>
            </w:pPr>
            <w:r>
              <w:t>3</w:t>
            </w:r>
          </w:p>
        </w:tc>
        <w:tc>
          <w:tcPr>
            <w:tcW w:w="1373" w:type="dxa"/>
            <w:noWrap/>
            <w:vAlign w:val="center"/>
          </w:tcPr>
          <w:p>
            <w:pPr>
              <w:pStyle w:val="66"/>
            </w:pPr>
            <w:r>
              <w:t>风险金</w:t>
            </w:r>
          </w:p>
        </w:tc>
        <w:tc>
          <w:tcPr>
            <w:tcW w:w="2071" w:type="dxa"/>
            <w:noWrap/>
            <w:vAlign w:val="center"/>
          </w:tcPr>
          <w:p>
            <w:pPr>
              <w:pStyle w:val="66"/>
            </w:pPr>
            <w:r>
              <w:t>　</w:t>
            </w:r>
          </w:p>
        </w:tc>
        <w:tc>
          <w:tcPr>
            <w:tcW w:w="1822" w:type="dxa"/>
            <w:noWrap/>
            <w:vAlign w:val="center"/>
          </w:tcPr>
          <w:p>
            <w:pPr>
              <w:pStyle w:val="66"/>
            </w:pPr>
            <w:r>
              <w:t>　</w:t>
            </w:r>
          </w:p>
        </w:tc>
        <w:tc>
          <w:tcPr>
            <w:tcW w:w="1037" w:type="dxa"/>
            <w:noWrap/>
            <w:vAlign w:val="center"/>
          </w:tcPr>
          <w:p>
            <w:pPr>
              <w:pStyle w:val="66"/>
            </w:pPr>
            <w:r>
              <w:t>　</w:t>
            </w:r>
          </w:p>
        </w:tc>
        <w:tc>
          <w:tcPr>
            <w:tcW w:w="1320" w:type="dxa"/>
            <w:noWrap/>
            <w:vAlign w:val="center"/>
          </w:tcPr>
          <w:p>
            <w:pPr>
              <w:pStyle w:val="66"/>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990" w:type="dxa"/>
            <w:gridSpan w:val="5"/>
            <w:noWrap/>
            <w:vAlign w:val="center"/>
          </w:tcPr>
          <w:p>
            <w:pPr>
              <w:pStyle w:val="66"/>
            </w:pPr>
            <w:r>
              <w:t>合计</w:t>
            </w:r>
          </w:p>
        </w:tc>
        <w:tc>
          <w:tcPr>
            <w:tcW w:w="1320" w:type="dxa"/>
            <w:noWrap/>
            <w:vAlign w:val="center"/>
          </w:tcPr>
          <w:p>
            <w:pPr>
              <w:pStyle w:val="66"/>
            </w:pPr>
            <w:r>
              <w:t>2.25</w:t>
            </w:r>
          </w:p>
        </w:tc>
      </w:tr>
    </w:tbl>
    <w:p>
      <w:pPr>
        <w:ind w:firstLine="440"/>
        <w:rPr>
          <w:rFonts w:ascii="Times New Roman"/>
        </w:rPr>
        <w:sectPr>
          <w:pgSz w:w="11920" w:h="16840"/>
          <w:pgMar w:top="1440" w:right="1800" w:bottom="1440" w:left="1800" w:header="879" w:footer="1009" w:gutter="0"/>
          <w:cols w:space="720" w:num="1"/>
          <w:docGrid w:linePitch="299" w:charSpace="0"/>
        </w:sectPr>
      </w:pPr>
    </w:p>
    <w:p>
      <w:pPr>
        <w:pStyle w:val="59"/>
        <w:ind w:firstLine="0" w:firstLineChars="0"/>
        <w:jc w:val="center"/>
      </w:pPr>
      <w:r>
        <w:drawing>
          <wp:inline distT="0" distB="0" distL="0" distR="0">
            <wp:extent cx="5749925" cy="7915275"/>
            <wp:effectExtent l="0" t="0" r="3175" b="9525"/>
            <wp:docPr id="3" name="图片 3" descr="C:\Users\Administrator\Desktop\页面提取自－喀什噶尔河克孜河伽师县贝纳木南岸防洪工程（K162+250～K165+850段）临时用地土地复垦方案报告书 - 脱密版 拷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页面提取自－喀什噶尔河克孜河伽师县贝纳木南岸防洪工程（K162+250～K165+850段）临时用地土地复垦方案报告书 - 脱密版 拷贝.jpg"/>
                    <pic:cNvPicPr>
                      <a:picLocks noChangeAspect="1" noChangeArrowheads="1"/>
                    </pic:cNvPicPr>
                  </pic:nvPicPr>
                  <pic:blipFill>
                    <a:blip r:embed="rId17" cstate="print">
                      <a:extLst>
                        <a:ext uri="{28A0092B-C50C-407E-A947-70E740481C1C}">
                          <a14:useLocalDpi xmlns:a14="http://schemas.microsoft.com/office/drawing/2010/main" val="0"/>
                        </a:ext>
                      </a:extLst>
                    </a:blip>
                    <a:srcRect l="12623" t="7268" r="10211" b="17334"/>
                    <a:stretch>
                      <a:fillRect/>
                    </a:stretch>
                  </pic:blipFill>
                  <pic:spPr>
                    <a:xfrm>
                      <a:off x="0" y="0"/>
                      <a:ext cx="5757853" cy="7926595"/>
                    </a:xfrm>
                    <a:prstGeom prst="rect">
                      <a:avLst/>
                    </a:prstGeom>
                    <a:noFill/>
                    <a:ln>
                      <a:noFill/>
                    </a:ln>
                  </pic:spPr>
                </pic:pic>
              </a:graphicData>
            </a:graphic>
          </wp:inline>
        </w:drawing>
      </w:r>
    </w:p>
    <w:sectPr>
      <w:headerReference r:id="rId12" w:type="first"/>
      <w:footerReference r:id="rId14" w:type="first"/>
      <w:headerReference r:id="rId10" w:type="default"/>
      <w:headerReference r:id="rId11" w:type="even"/>
      <w:footerReference r:id="rId13" w:type="even"/>
      <w:pgSz w:w="11906" w:h="16838"/>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119</w:t>
    </w:r>
    <w: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rPr>
      <w:t>18</w:t>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3471057"/>
    </w:sdtPr>
    <w:sdtEndPr>
      <w:rPr>
        <w:sz w:val="21"/>
        <w:szCs w:val="21"/>
      </w:rPr>
    </w:sdtEndPr>
    <w:sdtContent>
      <w:p>
        <w:pPr>
          <w:tabs>
            <w:tab w:val="left" w:pos="4275"/>
            <w:tab w:val="center" w:pos="4436"/>
          </w:tabs>
          <w:ind w:firstLine="560"/>
          <w:jc w:val="center"/>
          <w:rPr>
            <w:sz w:val="21"/>
            <w:szCs w:val="21"/>
          </w:rPr>
        </w:pPr>
      </w:p>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20"/>
      <w:jc w:val="center"/>
      <w:rPr>
        <w:sz w:val="21"/>
        <w:szCs w:val="21"/>
        <w:lang w:eastAsia="zh-CN"/>
      </w:rPr>
    </w:pPr>
    <w:r>
      <w:rPr>
        <w:sz w:val="21"/>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Times New Roman" w:hAnsi="Times New Roman"/>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16</w:t>
                          </w:r>
                          <w:r>
                            <w:rPr>
                              <w:rFonts w:ascii="Times New Roman" w:hAnsi="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vDXXMRAgAACQQAAA4AAABkcnMvZTJvRG9jLnhtbK1TzY7TMBC+I/EO&#10;lu80aYFV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q8NdcxECAAAJBAAADgAAAAAAAAABACAA&#10;AAAfAQAAZHJzL2Uyb0RvYy54bWxQSwUGAAAAAAYABgBZAQAAogUAAAAA&#10;">
              <v:fill on="f" focussize="0,0"/>
              <v:stroke on="f" weight="0.5pt"/>
              <v:imagedata o:title=""/>
              <o:lock v:ext="edit" aspectratio="f"/>
              <v:textbox inset="0mm,0mm,0mm,0mm" style="mso-fit-shape-to-text:t;">
                <w:txbxContent>
                  <w:p>
                    <w:pPr>
                      <w:jc w:val="center"/>
                      <w:rPr>
                        <w:rFonts w:ascii="Times New Roman" w:hAnsi="Times New Roman"/>
                      </w:rPr>
                    </w:pPr>
                    <w:r>
                      <w:rPr>
                        <w:rFonts w:ascii="Times New Roman" w:hAnsi="Times New Roman"/>
                        <w:sz w:val="21"/>
                        <w:szCs w:val="21"/>
                      </w:rPr>
                      <w:fldChar w:fldCharType="begin"/>
                    </w:r>
                    <w:r>
                      <w:rPr>
                        <w:rFonts w:ascii="Times New Roman" w:hAnsi="Times New Roman"/>
                        <w:sz w:val="21"/>
                        <w:szCs w:val="21"/>
                      </w:rPr>
                      <w:instrText xml:space="preserve">PAGE   \* MERGEFORMAT</w:instrText>
                    </w:r>
                    <w:r>
                      <w:rPr>
                        <w:rFonts w:ascii="Times New Roman" w:hAnsi="Times New Roman"/>
                        <w:sz w:val="21"/>
                        <w:szCs w:val="21"/>
                      </w:rPr>
                      <w:fldChar w:fldCharType="separate"/>
                    </w:r>
                    <w:r>
                      <w:rPr>
                        <w:rFonts w:ascii="Times New Roman" w:hAnsi="Times New Roman"/>
                        <w:sz w:val="21"/>
                        <w:szCs w:val="21"/>
                        <w:lang w:val="zh-CN"/>
                      </w:rPr>
                      <w:t>16</w:t>
                    </w:r>
                    <w:r>
                      <w:rPr>
                        <w:rFonts w:ascii="Times New Roman" w:hAnsi="Times New Roman"/>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lang w:eastAsia="zh-CN"/>
      </w:rPr>
    </w:pPr>
    <w:r>
      <w:rPr>
        <w:rFonts w:hint="eastAsia"/>
        <w:lang w:eastAsia="zh-CN"/>
      </w:rPr>
      <w:t>克拉苏气田大北区块地面建设工程土地复垦方案报告书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single" w:color="auto" w:sz="4" w:space="1"/>
      </w:pBdr>
      <w:rPr>
        <w:lang w:eastAsia="zh-CN"/>
      </w:rPr>
    </w:pPr>
    <w:r>
      <w:rPr>
        <w:sz w:val="15"/>
        <w:szCs w:val="15"/>
        <w:lang w:eastAsia="zh-CN"/>
      </w:rPr>
      <w:t>喀什噶尔河克孜河伽师县贝纳木南岸防洪工程（K162+250～K165+850段）临时用地土地复垦方案报告书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documentProtection w:enforcement="0"/>
  <w:defaultTabStop w:val="420"/>
  <w:drawingGridHorizontalSpacing w:val="110"/>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1YzM2YmIwZGY3NGRkYmIxNWNiMDk0M2M4ZGU4ZTkifQ=="/>
  </w:docVars>
  <w:rsids>
    <w:rsidRoot w:val="00172A27"/>
    <w:rsid w:val="0000023D"/>
    <w:rsid w:val="00000281"/>
    <w:rsid w:val="000006AF"/>
    <w:rsid w:val="00000896"/>
    <w:rsid w:val="00000ADB"/>
    <w:rsid w:val="00000BA2"/>
    <w:rsid w:val="00000BFD"/>
    <w:rsid w:val="00000DB9"/>
    <w:rsid w:val="00000F1A"/>
    <w:rsid w:val="000011DE"/>
    <w:rsid w:val="00001F68"/>
    <w:rsid w:val="000020BF"/>
    <w:rsid w:val="000021BE"/>
    <w:rsid w:val="0000284C"/>
    <w:rsid w:val="000029A3"/>
    <w:rsid w:val="000037C8"/>
    <w:rsid w:val="0000405B"/>
    <w:rsid w:val="000044FF"/>
    <w:rsid w:val="00004C08"/>
    <w:rsid w:val="00004DAD"/>
    <w:rsid w:val="000057B0"/>
    <w:rsid w:val="00005D1D"/>
    <w:rsid w:val="00005F45"/>
    <w:rsid w:val="00006C09"/>
    <w:rsid w:val="00006E57"/>
    <w:rsid w:val="000077D4"/>
    <w:rsid w:val="00007D41"/>
    <w:rsid w:val="00010F1F"/>
    <w:rsid w:val="0001200A"/>
    <w:rsid w:val="0001265C"/>
    <w:rsid w:val="000128A3"/>
    <w:rsid w:val="00012F6E"/>
    <w:rsid w:val="000134D0"/>
    <w:rsid w:val="000134DC"/>
    <w:rsid w:val="00013C34"/>
    <w:rsid w:val="00013D4B"/>
    <w:rsid w:val="00013F2C"/>
    <w:rsid w:val="00014225"/>
    <w:rsid w:val="0001497F"/>
    <w:rsid w:val="00014A07"/>
    <w:rsid w:val="00014B88"/>
    <w:rsid w:val="00015793"/>
    <w:rsid w:val="000157CC"/>
    <w:rsid w:val="00015807"/>
    <w:rsid w:val="00015A9C"/>
    <w:rsid w:val="00015D65"/>
    <w:rsid w:val="00016082"/>
    <w:rsid w:val="0001632F"/>
    <w:rsid w:val="00016358"/>
    <w:rsid w:val="00016451"/>
    <w:rsid w:val="000165A8"/>
    <w:rsid w:val="000179F6"/>
    <w:rsid w:val="00020058"/>
    <w:rsid w:val="00020E35"/>
    <w:rsid w:val="00021F35"/>
    <w:rsid w:val="00022EBF"/>
    <w:rsid w:val="000235B6"/>
    <w:rsid w:val="000235DC"/>
    <w:rsid w:val="00023958"/>
    <w:rsid w:val="00024CAC"/>
    <w:rsid w:val="00024E6A"/>
    <w:rsid w:val="0002556B"/>
    <w:rsid w:val="0002577B"/>
    <w:rsid w:val="000262C3"/>
    <w:rsid w:val="0002733F"/>
    <w:rsid w:val="00027428"/>
    <w:rsid w:val="000279B0"/>
    <w:rsid w:val="00027E13"/>
    <w:rsid w:val="00030037"/>
    <w:rsid w:val="00030219"/>
    <w:rsid w:val="0003042A"/>
    <w:rsid w:val="00030996"/>
    <w:rsid w:val="00030B21"/>
    <w:rsid w:val="00030E55"/>
    <w:rsid w:val="00031529"/>
    <w:rsid w:val="0003180B"/>
    <w:rsid w:val="000324B1"/>
    <w:rsid w:val="00032B41"/>
    <w:rsid w:val="00032B7E"/>
    <w:rsid w:val="00032F4E"/>
    <w:rsid w:val="0003380F"/>
    <w:rsid w:val="00033EC9"/>
    <w:rsid w:val="00033FF3"/>
    <w:rsid w:val="0003434D"/>
    <w:rsid w:val="000345DD"/>
    <w:rsid w:val="00034909"/>
    <w:rsid w:val="00034CA0"/>
    <w:rsid w:val="00035170"/>
    <w:rsid w:val="0003599E"/>
    <w:rsid w:val="000360A9"/>
    <w:rsid w:val="00036236"/>
    <w:rsid w:val="00036804"/>
    <w:rsid w:val="00037E84"/>
    <w:rsid w:val="00037F51"/>
    <w:rsid w:val="00040E68"/>
    <w:rsid w:val="00040E82"/>
    <w:rsid w:val="00041FB3"/>
    <w:rsid w:val="000420A5"/>
    <w:rsid w:val="000423FD"/>
    <w:rsid w:val="00042B14"/>
    <w:rsid w:val="00042D2F"/>
    <w:rsid w:val="00043762"/>
    <w:rsid w:val="00043972"/>
    <w:rsid w:val="00043ADA"/>
    <w:rsid w:val="00043D08"/>
    <w:rsid w:val="00044090"/>
    <w:rsid w:val="000444EF"/>
    <w:rsid w:val="00044781"/>
    <w:rsid w:val="0004478F"/>
    <w:rsid w:val="00044A84"/>
    <w:rsid w:val="0004510D"/>
    <w:rsid w:val="00045C88"/>
    <w:rsid w:val="00045EC5"/>
    <w:rsid w:val="00045EF5"/>
    <w:rsid w:val="000466A4"/>
    <w:rsid w:val="0004691B"/>
    <w:rsid w:val="00046A8D"/>
    <w:rsid w:val="00046B95"/>
    <w:rsid w:val="00047563"/>
    <w:rsid w:val="00047BE7"/>
    <w:rsid w:val="00047DA5"/>
    <w:rsid w:val="00050174"/>
    <w:rsid w:val="0005080A"/>
    <w:rsid w:val="00050F1E"/>
    <w:rsid w:val="000511A7"/>
    <w:rsid w:val="00051284"/>
    <w:rsid w:val="00051305"/>
    <w:rsid w:val="00051361"/>
    <w:rsid w:val="000514D0"/>
    <w:rsid w:val="00051B23"/>
    <w:rsid w:val="00051CD8"/>
    <w:rsid w:val="00051E56"/>
    <w:rsid w:val="00052052"/>
    <w:rsid w:val="0005298C"/>
    <w:rsid w:val="00052C73"/>
    <w:rsid w:val="00052F53"/>
    <w:rsid w:val="0005322E"/>
    <w:rsid w:val="00053691"/>
    <w:rsid w:val="00053ACE"/>
    <w:rsid w:val="00053C0D"/>
    <w:rsid w:val="0005432A"/>
    <w:rsid w:val="0005522C"/>
    <w:rsid w:val="0005527F"/>
    <w:rsid w:val="00055B76"/>
    <w:rsid w:val="00055C2C"/>
    <w:rsid w:val="00055CC3"/>
    <w:rsid w:val="000563DD"/>
    <w:rsid w:val="00056B36"/>
    <w:rsid w:val="00056B6F"/>
    <w:rsid w:val="00056DFC"/>
    <w:rsid w:val="00056E93"/>
    <w:rsid w:val="00057149"/>
    <w:rsid w:val="00057166"/>
    <w:rsid w:val="00057246"/>
    <w:rsid w:val="000576CA"/>
    <w:rsid w:val="00057D4A"/>
    <w:rsid w:val="00060483"/>
    <w:rsid w:val="00060F71"/>
    <w:rsid w:val="000610FF"/>
    <w:rsid w:val="000624F2"/>
    <w:rsid w:val="0006275F"/>
    <w:rsid w:val="00062DEB"/>
    <w:rsid w:val="00062FF5"/>
    <w:rsid w:val="0006357F"/>
    <w:rsid w:val="00063A1C"/>
    <w:rsid w:val="00064484"/>
    <w:rsid w:val="000645DD"/>
    <w:rsid w:val="0006578B"/>
    <w:rsid w:val="00065A34"/>
    <w:rsid w:val="00065A8B"/>
    <w:rsid w:val="00066159"/>
    <w:rsid w:val="00066496"/>
    <w:rsid w:val="0006715F"/>
    <w:rsid w:val="0006719E"/>
    <w:rsid w:val="0006726F"/>
    <w:rsid w:val="00067FC0"/>
    <w:rsid w:val="000704BC"/>
    <w:rsid w:val="000705DA"/>
    <w:rsid w:val="00070756"/>
    <w:rsid w:val="000707FC"/>
    <w:rsid w:val="0007096E"/>
    <w:rsid w:val="000709E2"/>
    <w:rsid w:val="0007139C"/>
    <w:rsid w:val="000715CB"/>
    <w:rsid w:val="000717EC"/>
    <w:rsid w:val="00071B99"/>
    <w:rsid w:val="000721AF"/>
    <w:rsid w:val="00072314"/>
    <w:rsid w:val="000727BC"/>
    <w:rsid w:val="0007299A"/>
    <w:rsid w:val="000729F6"/>
    <w:rsid w:val="00072C93"/>
    <w:rsid w:val="00072CD3"/>
    <w:rsid w:val="000733B7"/>
    <w:rsid w:val="000735F0"/>
    <w:rsid w:val="0007370B"/>
    <w:rsid w:val="00073C81"/>
    <w:rsid w:val="00074DAA"/>
    <w:rsid w:val="0007573D"/>
    <w:rsid w:val="0007666A"/>
    <w:rsid w:val="0007676C"/>
    <w:rsid w:val="00077164"/>
    <w:rsid w:val="0007745D"/>
    <w:rsid w:val="00077F4D"/>
    <w:rsid w:val="00080611"/>
    <w:rsid w:val="00080D7A"/>
    <w:rsid w:val="000814EF"/>
    <w:rsid w:val="00081545"/>
    <w:rsid w:val="00081580"/>
    <w:rsid w:val="00081ADE"/>
    <w:rsid w:val="0008214E"/>
    <w:rsid w:val="000824B1"/>
    <w:rsid w:val="000825FD"/>
    <w:rsid w:val="00082FB2"/>
    <w:rsid w:val="000830A8"/>
    <w:rsid w:val="000831C4"/>
    <w:rsid w:val="00083228"/>
    <w:rsid w:val="000833BB"/>
    <w:rsid w:val="00083D92"/>
    <w:rsid w:val="00085C2F"/>
    <w:rsid w:val="00085DDE"/>
    <w:rsid w:val="000861A4"/>
    <w:rsid w:val="000862B5"/>
    <w:rsid w:val="00086978"/>
    <w:rsid w:val="00086A3B"/>
    <w:rsid w:val="00086CE9"/>
    <w:rsid w:val="00087466"/>
    <w:rsid w:val="00087D3C"/>
    <w:rsid w:val="00090323"/>
    <w:rsid w:val="00090A5D"/>
    <w:rsid w:val="0009126A"/>
    <w:rsid w:val="0009154E"/>
    <w:rsid w:val="00091E3D"/>
    <w:rsid w:val="00092096"/>
    <w:rsid w:val="00093ADC"/>
    <w:rsid w:val="000947C0"/>
    <w:rsid w:val="000947F1"/>
    <w:rsid w:val="00094889"/>
    <w:rsid w:val="00094ABD"/>
    <w:rsid w:val="00094CF7"/>
    <w:rsid w:val="00094D69"/>
    <w:rsid w:val="0009538F"/>
    <w:rsid w:val="000953CB"/>
    <w:rsid w:val="00096539"/>
    <w:rsid w:val="000970DB"/>
    <w:rsid w:val="000A0201"/>
    <w:rsid w:val="000A0534"/>
    <w:rsid w:val="000A071C"/>
    <w:rsid w:val="000A0DF1"/>
    <w:rsid w:val="000A1DBF"/>
    <w:rsid w:val="000A1E6A"/>
    <w:rsid w:val="000A1ED9"/>
    <w:rsid w:val="000A2527"/>
    <w:rsid w:val="000A2C77"/>
    <w:rsid w:val="000A2D99"/>
    <w:rsid w:val="000A2E74"/>
    <w:rsid w:val="000A330B"/>
    <w:rsid w:val="000A3715"/>
    <w:rsid w:val="000A3D96"/>
    <w:rsid w:val="000A3F73"/>
    <w:rsid w:val="000A4745"/>
    <w:rsid w:val="000A4F57"/>
    <w:rsid w:val="000A51EF"/>
    <w:rsid w:val="000A553A"/>
    <w:rsid w:val="000A59D3"/>
    <w:rsid w:val="000A5D59"/>
    <w:rsid w:val="000A5E98"/>
    <w:rsid w:val="000A5F7B"/>
    <w:rsid w:val="000A6166"/>
    <w:rsid w:val="000A6221"/>
    <w:rsid w:val="000A7262"/>
    <w:rsid w:val="000A7A85"/>
    <w:rsid w:val="000A7CF5"/>
    <w:rsid w:val="000B0103"/>
    <w:rsid w:val="000B02FE"/>
    <w:rsid w:val="000B05D7"/>
    <w:rsid w:val="000B0684"/>
    <w:rsid w:val="000B10F6"/>
    <w:rsid w:val="000B117F"/>
    <w:rsid w:val="000B1369"/>
    <w:rsid w:val="000B16C5"/>
    <w:rsid w:val="000B1D53"/>
    <w:rsid w:val="000B2011"/>
    <w:rsid w:val="000B2226"/>
    <w:rsid w:val="000B224E"/>
    <w:rsid w:val="000B227B"/>
    <w:rsid w:val="000B249C"/>
    <w:rsid w:val="000B2597"/>
    <w:rsid w:val="000B2990"/>
    <w:rsid w:val="000B2BC9"/>
    <w:rsid w:val="000B2D02"/>
    <w:rsid w:val="000B4313"/>
    <w:rsid w:val="000B44C8"/>
    <w:rsid w:val="000B4820"/>
    <w:rsid w:val="000B4E68"/>
    <w:rsid w:val="000B5155"/>
    <w:rsid w:val="000B5410"/>
    <w:rsid w:val="000B576D"/>
    <w:rsid w:val="000B66EF"/>
    <w:rsid w:val="000B6968"/>
    <w:rsid w:val="000B6E29"/>
    <w:rsid w:val="000B6E35"/>
    <w:rsid w:val="000B6F23"/>
    <w:rsid w:val="000B6F3A"/>
    <w:rsid w:val="000B7289"/>
    <w:rsid w:val="000B7862"/>
    <w:rsid w:val="000B79AC"/>
    <w:rsid w:val="000C0190"/>
    <w:rsid w:val="000C02FC"/>
    <w:rsid w:val="000C0326"/>
    <w:rsid w:val="000C0732"/>
    <w:rsid w:val="000C09EC"/>
    <w:rsid w:val="000C1486"/>
    <w:rsid w:val="000C2964"/>
    <w:rsid w:val="000C2D12"/>
    <w:rsid w:val="000C2E0D"/>
    <w:rsid w:val="000C3191"/>
    <w:rsid w:val="000C37A3"/>
    <w:rsid w:val="000C3B03"/>
    <w:rsid w:val="000C3CDC"/>
    <w:rsid w:val="000C3DD9"/>
    <w:rsid w:val="000C429E"/>
    <w:rsid w:val="000C469B"/>
    <w:rsid w:val="000C4CDC"/>
    <w:rsid w:val="000C5E2D"/>
    <w:rsid w:val="000C605B"/>
    <w:rsid w:val="000C62DE"/>
    <w:rsid w:val="000C6AF0"/>
    <w:rsid w:val="000C6DE3"/>
    <w:rsid w:val="000C6E69"/>
    <w:rsid w:val="000C6E70"/>
    <w:rsid w:val="000C6E91"/>
    <w:rsid w:val="000C6FCD"/>
    <w:rsid w:val="000C7553"/>
    <w:rsid w:val="000C785C"/>
    <w:rsid w:val="000D0251"/>
    <w:rsid w:val="000D08A0"/>
    <w:rsid w:val="000D094B"/>
    <w:rsid w:val="000D0AF6"/>
    <w:rsid w:val="000D0CB2"/>
    <w:rsid w:val="000D1DFB"/>
    <w:rsid w:val="000D3339"/>
    <w:rsid w:val="000D35BB"/>
    <w:rsid w:val="000D480D"/>
    <w:rsid w:val="000D4E31"/>
    <w:rsid w:val="000D50D6"/>
    <w:rsid w:val="000D5C19"/>
    <w:rsid w:val="000D66EF"/>
    <w:rsid w:val="000D6FC2"/>
    <w:rsid w:val="000E0243"/>
    <w:rsid w:val="000E0624"/>
    <w:rsid w:val="000E07EE"/>
    <w:rsid w:val="000E0864"/>
    <w:rsid w:val="000E099F"/>
    <w:rsid w:val="000E09CD"/>
    <w:rsid w:val="000E0B62"/>
    <w:rsid w:val="000E0C4F"/>
    <w:rsid w:val="000E173A"/>
    <w:rsid w:val="000E199E"/>
    <w:rsid w:val="000E1B86"/>
    <w:rsid w:val="000E214F"/>
    <w:rsid w:val="000E27C4"/>
    <w:rsid w:val="000E2C2C"/>
    <w:rsid w:val="000E2CE7"/>
    <w:rsid w:val="000E30B4"/>
    <w:rsid w:val="000E31BC"/>
    <w:rsid w:val="000E3BFE"/>
    <w:rsid w:val="000E3E6D"/>
    <w:rsid w:val="000E4E0D"/>
    <w:rsid w:val="000E54CA"/>
    <w:rsid w:val="000E5DB3"/>
    <w:rsid w:val="000E6205"/>
    <w:rsid w:val="000E6660"/>
    <w:rsid w:val="000E67E7"/>
    <w:rsid w:val="000E734A"/>
    <w:rsid w:val="000E7A7D"/>
    <w:rsid w:val="000E7D29"/>
    <w:rsid w:val="000E7DA6"/>
    <w:rsid w:val="000F02FF"/>
    <w:rsid w:val="000F0301"/>
    <w:rsid w:val="000F073F"/>
    <w:rsid w:val="000F13D5"/>
    <w:rsid w:val="000F18D7"/>
    <w:rsid w:val="000F193E"/>
    <w:rsid w:val="000F2197"/>
    <w:rsid w:val="000F21B3"/>
    <w:rsid w:val="000F228A"/>
    <w:rsid w:val="000F2305"/>
    <w:rsid w:val="000F2F38"/>
    <w:rsid w:val="000F32AD"/>
    <w:rsid w:val="000F39DC"/>
    <w:rsid w:val="000F3A98"/>
    <w:rsid w:val="000F4BE3"/>
    <w:rsid w:val="000F4ED8"/>
    <w:rsid w:val="000F5446"/>
    <w:rsid w:val="000F593F"/>
    <w:rsid w:val="000F6707"/>
    <w:rsid w:val="000F6F78"/>
    <w:rsid w:val="000F7E6F"/>
    <w:rsid w:val="0010129F"/>
    <w:rsid w:val="00101767"/>
    <w:rsid w:val="00101F7B"/>
    <w:rsid w:val="00102380"/>
    <w:rsid w:val="00102B4E"/>
    <w:rsid w:val="00102D71"/>
    <w:rsid w:val="0010397E"/>
    <w:rsid w:val="00103C08"/>
    <w:rsid w:val="001042B3"/>
    <w:rsid w:val="00104513"/>
    <w:rsid w:val="00104921"/>
    <w:rsid w:val="0010582A"/>
    <w:rsid w:val="00105B23"/>
    <w:rsid w:val="00105CA6"/>
    <w:rsid w:val="00106053"/>
    <w:rsid w:val="00106774"/>
    <w:rsid w:val="00106AA8"/>
    <w:rsid w:val="001100B7"/>
    <w:rsid w:val="001101AB"/>
    <w:rsid w:val="0011091C"/>
    <w:rsid w:val="00110AFE"/>
    <w:rsid w:val="00110C74"/>
    <w:rsid w:val="001112B8"/>
    <w:rsid w:val="001113C6"/>
    <w:rsid w:val="00111445"/>
    <w:rsid w:val="0011175A"/>
    <w:rsid w:val="00111C76"/>
    <w:rsid w:val="0011264E"/>
    <w:rsid w:val="001128DF"/>
    <w:rsid w:val="001128EC"/>
    <w:rsid w:val="00112964"/>
    <w:rsid w:val="00112C14"/>
    <w:rsid w:val="00112E4A"/>
    <w:rsid w:val="00112F27"/>
    <w:rsid w:val="0011315B"/>
    <w:rsid w:val="001131AE"/>
    <w:rsid w:val="001138D2"/>
    <w:rsid w:val="00113F85"/>
    <w:rsid w:val="0011430D"/>
    <w:rsid w:val="00115432"/>
    <w:rsid w:val="0011553A"/>
    <w:rsid w:val="0011587D"/>
    <w:rsid w:val="00115C6C"/>
    <w:rsid w:val="00115CC6"/>
    <w:rsid w:val="00115D2D"/>
    <w:rsid w:val="001164B5"/>
    <w:rsid w:val="00116D5C"/>
    <w:rsid w:val="00116DC5"/>
    <w:rsid w:val="001176D5"/>
    <w:rsid w:val="00117C50"/>
    <w:rsid w:val="001204EB"/>
    <w:rsid w:val="001206FC"/>
    <w:rsid w:val="0012071F"/>
    <w:rsid w:val="00120A65"/>
    <w:rsid w:val="00120FA7"/>
    <w:rsid w:val="00121951"/>
    <w:rsid w:val="001219E8"/>
    <w:rsid w:val="00121C80"/>
    <w:rsid w:val="00121E1C"/>
    <w:rsid w:val="001222B7"/>
    <w:rsid w:val="00122729"/>
    <w:rsid w:val="00122AAD"/>
    <w:rsid w:val="00122C75"/>
    <w:rsid w:val="00122C92"/>
    <w:rsid w:val="00122EE7"/>
    <w:rsid w:val="00123C6F"/>
    <w:rsid w:val="00123E9B"/>
    <w:rsid w:val="0012474B"/>
    <w:rsid w:val="0012592F"/>
    <w:rsid w:val="00125959"/>
    <w:rsid w:val="00126077"/>
    <w:rsid w:val="00126D59"/>
    <w:rsid w:val="0012719C"/>
    <w:rsid w:val="0012743A"/>
    <w:rsid w:val="00127587"/>
    <w:rsid w:val="001276F7"/>
    <w:rsid w:val="0012774C"/>
    <w:rsid w:val="00127B3F"/>
    <w:rsid w:val="001306F6"/>
    <w:rsid w:val="00130BC5"/>
    <w:rsid w:val="001323F9"/>
    <w:rsid w:val="00132D35"/>
    <w:rsid w:val="00132F8A"/>
    <w:rsid w:val="00133B4F"/>
    <w:rsid w:val="0013419E"/>
    <w:rsid w:val="0013495A"/>
    <w:rsid w:val="001353F6"/>
    <w:rsid w:val="001358F4"/>
    <w:rsid w:val="00135977"/>
    <w:rsid w:val="00135B90"/>
    <w:rsid w:val="00135CB3"/>
    <w:rsid w:val="00135FAC"/>
    <w:rsid w:val="001361B4"/>
    <w:rsid w:val="0013623A"/>
    <w:rsid w:val="00136925"/>
    <w:rsid w:val="00137389"/>
    <w:rsid w:val="00137A42"/>
    <w:rsid w:val="00137AF0"/>
    <w:rsid w:val="00137F39"/>
    <w:rsid w:val="00137FD5"/>
    <w:rsid w:val="00140025"/>
    <w:rsid w:val="001403E2"/>
    <w:rsid w:val="00140780"/>
    <w:rsid w:val="00141401"/>
    <w:rsid w:val="00141CCA"/>
    <w:rsid w:val="00141EE4"/>
    <w:rsid w:val="00142248"/>
    <w:rsid w:val="001424E9"/>
    <w:rsid w:val="00142C02"/>
    <w:rsid w:val="00142C2C"/>
    <w:rsid w:val="00142FFE"/>
    <w:rsid w:val="00143C7C"/>
    <w:rsid w:val="00144179"/>
    <w:rsid w:val="001455E5"/>
    <w:rsid w:val="00145B74"/>
    <w:rsid w:val="0014680F"/>
    <w:rsid w:val="00146E26"/>
    <w:rsid w:val="001472F8"/>
    <w:rsid w:val="001503DC"/>
    <w:rsid w:val="001509CD"/>
    <w:rsid w:val="001512D6"/>
    <w:rsid w:val="001516D2"/>
    <w:rsid w:val="001533F5"/>
    <w:rsid w:val="00154559"/>
    <w:rsid w:val="00154838"/>
    <w:rsid w:val="00155C99"/>
    <w:rsid w:val="00157789"/>
    <w:rsid w:val="00157B64"/>
    <w:rsid w:val="0016022C"/>
    <w:rsid w:val="00160EAD"/>
    <w:rsid w:val="001610E7"/>
    <w:rsid w:val="0016156E"/>
    <w:rsid w:val="001615B7"/>
    <w:rsid w:val="001622FC"/>
    <w:rsid w:val="0016258C"/>
    <w:rsid w:val="0016266E"/>
    <w:rsid w:val="00162CC7"/>
    <w:rsid w:val="00162D67"/>
    <w:rsid w:val="001631FC"/>
    <w:rsid w:val="00163411"/>
    <w:rsid w:val="001634AC"/>
    <w:rsid w:val="001636B8"/>
    <w:rsid w:val="00165089"/>
    <w:rsid w:val="0016559D"/>
    <w:rsid w:val="001659B1"/>
    <w:rsid w:val="00166894"/>
    <w:rsid w:val="00167531"/>
    <w:rsid w:val="00167A52"/>
    <w:rsid w:val="00167F8A"/>
    <w:rsid w:val="00170045"/>
    <w:rsid w:val="001705F9"/>
    <w:rsid w:val="00170717"/>
    <w:rsid w:val="001710FC"/>
    <w:rsid w:val="0017121A"/>
    <w:rsid w:val="001719C9"/>
    <w:rsid w:val="00171BEF"/>
    <w:rsid w:val="00172096"/>
    <w:rsid w:val="00172A27"/>
    <w:rsid w:val="00173015"/>
    <w:rsid w:val="001731CE"/>
    <w:rsid w:val="00173442"/>
    <w:rsid w:val="001734E3"/>
    <w:rsid w:val="00173562"/>
    <w:rsid w:val="00173807"/>
    <w:rsid w:val="00175CE6"/>
    <w:rsid w:val="00175D7D"/>
    <w:rsid w:val="00176070"/>
    <w:rsid w:val="0017614E"/>
    <w:rsid w:val="0017687E"/>
    <w:rsid w:val="00176B18"/>
    <w:rsid w:val="001774B4"/>
    <w:rsid w:val="00177768"/>
    <w:rsid w:val="0017776D"/>
    <w:rsid w:val="00177886"/>
    <w:rsid w:val="00177B72"/>
    <w:rsid w:val="00180794"/>
    <w:rsid w:val="00180F61"/>
    <w:rsid w:val="001812AD"/>
    <w:rsid w:val="00181B70"/>
    <w:rsid w:val="00181B72"/>
    <w:rsid w:val="00182117"/>
    <w:rsid w:val="00182A1E"/>
    <w:rsid w:val="00183990"/>
    <w:rsid w:val="001843EB"/>
    <w:rsid w:val="00184A7A"/>
    <w:rsid w:val="00184CB7"/>
    <w:rsid w:val="00184DD1"/>
    <w:rsid w:val="001858B9"/>
    <w:rsid w:val="00185C73"/>
    <w:rsid w:val="00186078"/>
    <w:rsid w:val="00186446"/>
    <w:rsid w:val="00186C11"/>
    <w:rsid w:val="00186E4C"/>
    <w:rsid w:val="00186EFB"/>
    <w:rsid w:val="001872EE"/>
    <w:rsid w:val="001877F3"/>
    <w:rsid w:val="0018795E"/>
    <w:rsid w:val="001904F4"/>
    <w:rsid w:val="001911F3"/>
    <w:rsid w:val="00191290"/>
    <w:rsid w:val="0019165B"/>
    <w:rsid w:val="001917E5"/>
    <w:rsid w:val="00191840"/>
    <w:rsid w:val="00191FBC"/>
    <w:rsid w:val="0019257A"/>
    <w:rsid w:val="0019263A"/>
    <w:rsid w:val="00192A56"/>
    <w:rsid w:val="00193046"/>
    <w:rsid w:val="00193051"/>
    <w:rsid w:val="0019339A"/>
    <w:rsid w:val="001933D8"/>
    <w:rsid w:val="001934F5"/>
    <w:rsid w:val="00193CB0"/>
    <w:rsid w:val="001949D9"/>
    <w:rsid w:val="00194D79"/>
    <w:rsid w:val="00195183"/>
    <w:rsid w:val="0019524C"/>
    <w:rsid w:val="00195306"/>
    <w:rsid w:val="00195769"/>
    <w:rsid w:val="00195F29"/>
    <w:rsid w:val="00196705"/>
    <w:rsid w:val="00196946"/>
    <w:rsid w:val="00196E6D"/>
    <w:rsid w:val="0019703A"/>
    <w:rsid w:val="00197087"/>
    <w:rsid w:val="00197512"/>
    <w:rsid w:val="001A020C"/>
    <w:rsid w:val="001A0623"/>
    <w:rsid w:val="001A10DD"/>
    <w:rsid w:val="001A12DC"/>
    <w:rsid w:val="001A163D"/>
    <w:rsid w:val="001A16DC"/>
    <w:rsid w:val="001A1A93"/>
    <w:rsid w:val="001A1B8F"/>
    <w:rsid w:val="001A22E1"/>
    <w:rsid w:val="001A23EE"/>
    <w:rsid w:val="001A2612"/>
    <w:rsid w:val="001A2AEF"/>
    <w:rsid w:val="001A2E1D"/>
    <w:rsid w:val="001A3B76"/>
    <w:rsid w:val="001A4F03"/>
    <w:rsid w:val="001A5AB1"/>
    <w:rsid w:val="001A5C8D"/>
    <w:rsid w:val="001A6159"/>
    <w:rsid w:val="001A63A8"/>
    <w:rsid w:val="001A64B5"/>
    <w:rsid w:val="001A694F"/>
    <w:rsid w:val="001A6956"/>
    <w:rsid w:val="001A6997"/>
    <w:rsid w:val="001A77DE"/>
    <w:rsid w:val="001A7A6E"/>
    <w:rsid w:val="001B0120"/>
    <w:rsid w:val="001B04ED"/>
    <w:rsid w:val="001B1015"/>
    <w:rsid w:val="001B1863"/>
    <w:rsid w:val="001B221E"/>
    <w:rsid w:val="001B2245"/>
    <w:rsid w:val="001B2BF3"/>
    <w:rsid w:val="001B3139"/>
    <w:rsid w:val="001B340A"/>
    <w:rsid w:val="001B37D1"/>
    <w:rsid w:val="001B3A4F"/>
    <w:rsid w:val="001B40F8"/>
    <w:rsid w:val="001B4C8A"/>
    <w:rsid w:val="001B5788"/>
    <w:rsid w:val="001B5AB1"/>
    <w:rsid w:val="001B61B6"/>
    <w:rsid w:val="001B6486"/>
    <w:rsid w:val="001B64E2"/>
    <w:rsid w:val="001B65FE"/>
    <w:rsid w:val="001B6644"/>
    <w:rsid w:val="001B755D"/>
    <w:rsid w:val="001B758E"/>
    <w:rsid w:val="001B76CF"/>
    <w:rsid w:val="001B76E4"/>
    <w:rsid w:val="001B7AF9"/>
    <w:rsid w:val="001B7B2F"/>
    <w:rsid w:val="001C0F14"/>
    <w:rsid w:val="001C0F89"/>
    <w:rsid w:val="001C0FB3"/>
    <w:rsid w:val="001C100F"/>
    <w:rsid w:val="001C119F"/>
    <w:rsid w:val="001C11C5"/>
    <w:rsid w:val="001C21EB"/>
    <w:rsid w:val="001C2582"/>
    <w:rsid w:val="001C26F3"/>
    <w:rsid w:val="001C2764"/>
    <w:rsid w:val="001C2A96"/>
    <w:rsid w:val="001C30A2"/>
    <w:rsid w:val="001C34E2"/>
    <w:rsid w:val="001C3B4A"/>
    <w:rsid w:val="001C3E00"/>
    <w:rsid w:val="001C3EBD"/>
    <w:rsid w:val="001C4096"/>
    <w:rsid w:val="001C4952"/>
    <w:rsid w:val="001C4A60"/>
    <w:rsid w:val="001C4AC9"/>
    <w:rsid w:val="001C4EEE"/>
    <w:rsid w:val="001C5948"/>
    <w:rsid w:val="001C5B4D"/>
    <w:rsid w:val="001C5CC4"/>
    <w:rsid w:val="001C5DBF"/>
    <w:rsid w:val="001C6222"/>
    <w:rsid w:val="001C6BB3"/>
    <w:rsid w:val="001C6C5E"/>
    <w:rsid w:val="001C6FD2"/>
    <w:rsid w:val="001C7081"/>
    <w:rsid w:val="001C7083"/>
    <w:rsid w:val="001C7D4F"/>
    <w:rsid w:val="001C7E3F"/>
    <w:rsid w:val="001D0049"/>
    <w:rsid w:val="001D0244"/>
    <w:rsid w:val="001D093E"/>
    <w:rsid w:val="001D099B"/>
    <w:rsid w:val="001D106A"/>
    <w:rsid w:val="001D139E"/>
    <w:rsid w:val="001D153E"/>
    <w:rsid w:val="001D1558"/>
    <w:rsid w:val="001D1B22"/>
    <w:rsid w:val="001D1CA8"/>
    <w:rsid w:val="001D25A8"/>
    <w:rsid w:val="001D2696"/>
    <w:rsid w:val="001D279B"/>
    <w:rsid w:val="001D2AD1"/>
    <w:rsid w:val="001D2D87"/>
    <w:rsid w:val="001D2E23"/>
    <w:rsid w:val="001D2E6D"/>
    <w:rsid w:val="001D3019"/>
    <w:rsid w:val="001D3C50"/>
    <w:rsid w:val="001D4EF2"/>
    <w:rsid w:val="001D52A9"/>
    <w:rsid w:val="001D5376"/>
    <w:rsid w:val="001D606D"/>
    <w:rsid w:val="001D65D6"/>
    <w:rsid w:val="001D66DA"/>
    <w:rsid w:val="001D672D"/>
    <w:rsid w:val="001D73EA"/>
    <w:rsid w:val="001E08FF"/>
    <w:rsid w:val="001E14BB"/>
    <w:rsid w:val="001E1868"/>
    <w:rsid w:val="001E1A42"/>
    <w:rsid w:val="001E1E34"/>
    <w:rsid w:val="001E2889"/>
    <w:rsid w:val="001E2B4F"/>
    <w:rsid w:val="001E2E12"/>
    <w:rsid w:val="001E3008"/>
    <w:rsid w:val="001E37AE"/>
    <w:rsid w:val="001E38FE"/>
    <w:rsid w:val="001E3B65"/>
    <w:rsid w:val="001E3D32"/>
    <w:rsid w:val="001E458E"/>
    <w:rsid w:val="001E465C"/>
    <w:rsid w:val="001E4CA6"/>
    <w:rsid w:val="001E4DE2"/>
    <w:rsid w:val="001E4FAE"/>
    <w:rsid w:val="001E5CF9"/>
    <w:rsid w:val="001E6530"/>
    <w:rsid w:val="001E69D2"/>
    <w:rsid w:val="001E6C39"/>
    <w:rsid w:val="001E730F"/>
    <w:rsid w:val="001E76C8"/>
    <w:rsid w:val="001E770A"/>
    <w:rsid w:val="001E79F1"/>
    <w:rsid w:val="001F0628"/>
    <w:rsid w:val="001F074A"/>
    <w:rsid w:val="001F07AB"/>
    <w:rsid w:val="001F09FC"/>
    <w:rsid w:val="001F0D58"/>
    <w:rsid w:val="001F11BD"/>
    <w:rsid w:val="001F1F2C"/>
    <w:rsid w:val="001F2427"/>
    <w:rsid w:val="001F2B7C"/>
    <w:rsid w:val="001F2DE8"/>
    <w:rsid w:val="001F3236"/>
    <w:rsid w:val="001F347F"/>
    <w:rsid w:val="001F351E"/>
    <w:rsid w:val="001F3798"/>
    <w:rsid w:val="001F3AC9"/>
    <w:rsid w:val="001F3BB5"/>
    <w:rsid w:val="001F3F2B"/>
    <w:rsid w:val="001F43A5"/>
    <w:rsid w:val="001F4BFA"/>
    <w:rsid w:val="001F4E64"/>
    <w:rsid w:val="001F5DAD"/>
    <w:rsid w:val="001F6130"/>
    <w:rsid w:val="001F61A4"/>
    <w:rsid w:val="001F621E"/>
    <w:rsid w:val="001F66CA"/>
    <w:rsid w:val="001F67E5"/>
    <w:rsid w:val="001F6E26"/>
    <w:rsid w:val="001F7AF0"/>
    <w:rsid w:val="001F7D3C"/>
    <w:rsid w:val="00200CB1"/>
    <w:rsid w:val="00200FB2"/>
    <w:rsid w:val="00201747"/>
    <w:rsid w:val="00202ACE"/>
    <w:rsid w:val="00203188"/>
    <w:rsid w:val="0020334A"/>
    <w:rsid w:val="002035C8"/>
    <w:rsid w:val="002040EC"/>
    <w:rsid w:val="002041B9"/>
    <w:rsid w:val="00204266"/>
    <w:rsid w:val="00204410"/>
    <w:rsid w:val="0020484C"/>
    <w:rsid w:val="0020493A"/>
    <w:rsid w:val="00204DA6"/>
    <w:rsid w:val="0020513C"/>
    <w:rsid w:val="0020519B"/>
    <w:rsid w:val="00205336"/>
    <w:rsid w:val="00205507"/>
    <w:rsid w:val="00205849"/>
    <w:rsid w:val="002058A1"/>
    <w:rsid w:val="0020613D"/>
    <w:rsid w:val="00206740"/>
    <w:rsid w:val="00206B47"/>
    <w:rsid w:val="00206C70"/>
    <w:rsid w:val="002076C7"/>
    <w:rsid w:val="002100E0"/>
    <w:rsid w:val="002101D1"/>
    <w:rsid w:val="002110B1"/>
    <w:rsid w:val="00211116"/>
    <w:rsid w:val="0021177C"/>
    <w:rsid w:val="002118C3"/>
    <w:rsid w:val="00211AE1"/>
    <w:rsid w:val="00212035"/>
    <w:rsid w:val="002121FA"/>
    <w:rsid w:val="0021221A"/>
    <w:rsid w:val="002125A7"/>
    <w:rsid w:val="002125DD"/>
    <w:rsid w:val="0021274C"/>
    <w:rsid w:val="00212C95"/>
    <w:rsid w:val="00212ED1"/>
    <w:rsid w:val="00212F97"/>
    <w:rsid w:val="002134C4"/>
    <w:rsid w:val="0021371A"/>
    <w:rsid w:val="00213C64"/>
    <w:rsid w:val="00213CD9"/>
    <w:rsid w:val="0021425E"/>
    <w:rsid w:val="002142BF"/>
    <w:rsid w:val="0021479A"/>
    <w:rsid w:val="002150A1"/>
    <w:rsid w:val="00215277"/>
    <w:rsid w:val="00215485"/>
    <w:rsid w:val="0021548F"/>
    <w:rsid w:val="00217983"/>
    <w:rsid w:val="00217C03"/>
    <w:rsid w:val="00217D72"/>
    <w:rsid w:val="0022013C"/>
    <w:rsid w:val="00220926"/>
    <w:rsid w:val="00220C74"/>
    <w:rsid w:val="00221486"/>
    <w:rsid w:val="002215A0"/>
    <w:rsid w:val="002217D1"/>
    <w:rsid w:val="00221C11"/>
    <w:rsid w:val="00221F50"/>
    <w:rsid w:val="00221F8F"/>
    <w:rsid w:val="00222137"/>
    <w:rsid w:val="002221B3"/>
    <w:rsid w:val="0022259F"/>
    <w:rsid w:val="00222B0C"/>
    <w:rsid w:val="002231CF"/>
    <w:rsid w:val="00223524"/>
    <w:rsid w:val="00223545"/>
    <w:rsid w:val="00223745"/>
    <w:rsid w:val="00223974"/>
    <w:rsid w:val="00223E15"/>
    <w:rsid w:val="002241B6"/>
    <w:rsid w:val="0022425B"/>
    <w:rsid w:val="002247D1"/>
    <w:rsid w:val="00224D0A"/>
    <w:rsid w:val="002255BC"/>
    <w:rsid w:val="002257B5"/>
    <w:rsid w:val="00225C03"/>
    <w:rsid w:val="0022628D"/>
    <w:rsid w:val="00226439"/>
    <w:rsid w:val="00226670"/>
    <w:rsid w:val="00226CF2"/>
    <w:rsid w:val="00226D5E"/>
    <w:rsid w:val="00226D63"/>
    <w:rsid w:val="0022716E"/>
    <w:rsid w:val="00227A7F"/>
    <w:rsid w:val="00227BB4"/>
    <w:rsid w:val="002300F3"/>
    <w:rsid w:val="00230372"/>
    <w:rsid w:val="00230489"/>
    <w:rsid w:val="00230810"/>
    <w:rsid w:val="00230F8A"/>
    <w:rsid w:val="00231092"/>
    <w:rsid w:val="00231365"/>
    <w:rsid w:val="00231735"/>
    <w:rsid w:val="002319E4"/>
    <w:rsid w:val="00231E2E"/>
    <w:rsid w:val="00232154"/>
    <w:rsid w:val="00232AE6"/>
    <w:rsid w:val="00232D47"/>
    <w:rsid w:val="00232E6E"/>
    <w:rsid w:val="00233370"/>
    <w:rsid w:val="0023380A"/>
    <w:rsid w:val="00234619"/>
    <w:rsid w:val="0023465E"/>
    <w:rsid w:val="00234DBE"/>
    <w:rsid w:val="002357AD"/>
    <w:rsid w:val="002359A0"/>
    <w:rsid w:val="002362EE"/>
    <w:rsid w:val="00236C4A"/>
    <w:rsid w:val="00237020"/>
    <w:rsid w:val="00237105"/>
    <w:rsid w:val="002374BD"/>
    <w:rsid w:val="00240218"/>
    <w:rsid w:val="0024052E"/>
    <w:rsid w:val="00240A76"/>
    <w:rsid w:val="00240CB9"/>
    <w:rsid w:val="00241988"/>
    <w:rsid w:val="00241B3E"/>
    <w:rsid w:val="002420C3"/>
    <w:rsid w:val="00242D96"/>
    <w:rsid w:val="002430C8"/>
    <w:rsid w:val="00243153"/>
    <w:rsid w:val="002433FA"/>
    <w:rsid w:val="00243A2A"/>
    <w:rsid w:val="00244062"/>
    <w:rsid w:val="002443DB"/>
    <w:rsid w:val="0024443D"/>
    <w:rsid w:val="00245342"/>
    <w:rsid w:val="00245345"/>
    <w:rsid w:val="00245ACA"/>
    <w:rsid w:val="00245F6A"/>
    <w:rsid w:val="0024600E"/>
    <w:rsid w:val="00246070"/>
    <w:rsid w:val="00246B22"/>
    <w:rsid w:val="00247984"/>
    <w:rsid w:val="00247F5D"/>
    <w:rsid w:val="002505EF"/>
    <w:rsid w:val="00250AF2"/>
    <w:rsid w:val="002513C5"/>
    <w:rsid w:val="00251497"/>
    <w:rsid w:val="00251809"/>
    <w:rsid w:val="0025273E"/>
    <w:rsid w:val="00252C87"/>
    <w:rsid w:val="00253062"/>
    <w:rsid w:val="002530F9"/>
    <w:rsid w:val="00253750"/>
    <w:rsid w:val="002537E5"/>
    <w:rsid w:val="0025437E"/>
    <w:rsid w:val="00254755"/>
    <w:rsid w:val="00254C42"/>
    <w:rsid w:val="0025506F"/>
    <w:rsid w:val="00255307"/>
    <w:rsid w:val="002556A0"/>
    <w:rsid w:val="0025592A"/>
    <w:rsid w:val="00256A96"/>
    <w:rsid w:val="00256B44"/>
    <w:rsid w:val="002576B2"/>
    <w:rsid w:val="00257B0B"/>
    <w:rsid w:val="00257BBD"/>
    <w:rsid w:val="0026014C"/>
    <w:rsid w:val="002606DA"/>
    <w:rsid w:val="00260C18"/>
    <w:rsid w:val="0026136B"/>
    <w:rsid w:val="00261E1B"/>
    <w:rsid w:val="00262388"/>
    <w:rsid w:val="00262749"/>
    <w:rsid w:val="00262AFB"/>
    <w:rsid w:val="0026342B"/>
    <w:rsid w:val="00263792"/>
    <w:rsid w:val="00263D71"/>
    <w:rsid w:val="00264C6D"/>
    <w:rsid w:val="00264D43"/>
    <w:rsid w:val="0026508D"/>
    <w:rsid w:val="0026568B"/>
    <w:rsid w:val="00265769"/>
    <w:rsid w:val="00265C6B"/>
    <w:rsid w:val="00265F9A"/>
    <w:rsid w:val="00266B99"/>
    <w:rsid w:val="00266D76"/>
    <w:rsid w:val="00266E53"/>
    <w:rsid w:val="0026707A"/>
    <w:rsid w:val="0026791C"/>
    <w:rsid w:val="00267B2E"/>
    <w:rsid w:val="00267F1D"/>
    <w:rsid w:val="00267FF0"/>
    <w:rsid w:val="00270241"/>
    <w:rsid w:val="0027076A"/>
    <w:rsid w:val="00270BD3"/>
    <w:rsid w:val="00270C96"/>
    <w:rsid w:val="00270DC2"/>
    <w:rsid w:val="002710B1"/>
    <w:rsid w:val="0027183C"/>
    <w:rsid w:val="002718DB"/>
    <w:rsid w:val="00271E3C"/>
    <w:rsid w:val="00271F7F"/>
    <w:rsid w:val="0027209D"/>
    <w:rsid w:val="00272746"/>
    <w:rsid w:val="00272D7F"/>
    <w:rsid w:val="002735A3"/>
    <w:rsid w:val="002738BF"/>
    <w:rsid w:val="00273E52"/>
    <w:rsid w:val="002749CC"/>
    <w:rsid w:val="00275021"/>
    <w:rsid w:val="002759A0"/>
    <w:rsid w:val="00275CD3"/>
    <w:rsid w:val="00275F1E"/>
    <w:rsid w:val="002761AA"/>
    <w:rsid w:val="00276D94"/>
    <w:rsid w:val="002771C2"/>
    <w:rsid w:val="00277855"/>
    <w:rsid w:val="0027785B"/>
    <w:rsid w:val="002779CE"/>
    <w:rsid w:val="00277AE4"/>
    <w:rsid w:val="00277DE8"/>
    <w:rsid w:val="00277F4C"/>
    <w:rsid w:val="00280073"/>
    <w:rsid w:val="002813FC"/>
    <w:rsid w:val="00283264"/>
    <w:rsid w:val="0028340C"/>
    <w:rsid w:val="00284B9E"/>
    <w:rsid w:val="00284F48"/>
    <w:rsid w:val="002851EC"/>
    <w:rsid w:val="002859BD"/>
    <w:rsid w:val="00285E79"/>
    <w:rsid w:val="0028621D"/>
    <w:rsid w:val="00286480"/>
    <w:rsid w:val="00286548"/>
    <w:rsid w:val="00286F0C"/>
    <w:rsid w:val="00287B2F"/>
    <w:rsid w:val="00287F9E"/>
    <w:rsid w:val="00290063"/>
    <w:rsid w:val="0029069F"/>
    <w:rsid w:val="002907DA"/>
    <w:rsid w:val="002913B7"/>
    <w:rsid w:val="00291707"/>
    <w:rsid w:val="0029195B"/>
    <w:rsid w:val="002925AD"/>
    <w:rsid w:val="002928E0"/>
    <w:rsid w:val="00292E2C"/>
    <w:rsid w:val="00293274"/>
    <w:rsid w:val="00293824"/>
    <w:rsid w:val="00293E07"/>
    <w:rsid w:val="002943D9"/>
    <w:rsid w:val="00294CFE"/>
    <w:rsid w:val="00294F0D"/>
    <w:rsid w:val="00295573"/>
    <w:rsid w:val="0029567A"/>
    <w:rsid w:val="002960B2"/>
    <w:rsid w:val="00296184"/>
    <w:rsid w:val="00296BF2"/>
    <w:rsid w:val="00296CFB"/>
    <w:rsid w:val="00296E45"/>
    <w:rsid w:val="00296F16"/>
    <w:rsid w:val="002970DF"/>
    <w:rsid w:val="002A03A7"/>
    <w:rsid w:val="002A042E"/>
    <w:rsid w:val="002A0792"/>
    <w:rsid w:val="002A07E0"/>
    <w:rsid w:val="002A17F6"/>
    <w:rsid w:val="002A1AD7"/>
    <w:rsid w:val="002A1F2D"/>
    <w:rsid w:val="002A1FB0"/>
    <w:rsid w:val="002A20DA"/>
    <w:rsid w:val="002A24D2"/>
    <w:rsid w:val="002A26C3"/>
    <w:rsid w:val="002A3458"/>
    <w:rsid w:val="002A350C"/>
    <w:rsid w:val="002A3702"/>
    <w:rsid w:val="002A3B1F"/>
    <w:rsid w:val="002A3C90"/>
    <w:rsid w:val="002A4107"/>
    <w:rsid w:val="002A4566"/>
    <w:rsid w:val="002A4A85"/>
    <w:rsid w:val="002A4B24"/>
    <w:rsid w:val="002A4D39"/>
    <w:rsid w:val="002A5791"/>
    <w:rsid w:val="002A5E11"/>
    <w:rsid w:val="002A5FEE"/>
    <w:rsid w:val="002A68F0"/>
    <w:rsid w:val="002A6BA7"/>
    <w:rsid w:val="002A6D05"/>
    <w:rsid w:val="002A6FA2"/>
    <w:rsid w:val="002A7507"/>
    <w:rsid w:val="002B0201"/>
    <w:rsid w:val="002B0424"/>
    <w:rsid w:val="002B0856"/>
    <w:rsid w:val="002B08B5"/>
    <w:rsid w:val="002B093C"/>
    <w:rsid w:val="002B11D5"/>
    <w:rsid w:val="002B1343"/>
    <w:rsid w:val="002B1FA8"/>
    <w:rsid w:val="002B2267"/>
    <w:rsid w:val="002B250A"/>
    <w:rsid w:val="002B252F"/>
    <w:rsid w:val="002B26C8"/>
    <w:rsid w:val="002B2AF8"/>
    <w:rsid w:val="002B2F1C"/>
    <w:rsid w:val="002B2FBB"/>
    <w:rsid w:val="002B3241"/>
    <w:rsid w:val="002B3715"/>
    <w:rsid w:val="002B3731"/>
    <w:rsid w:val="002B3971"/>
    <w:rsid w:val="002B3F0B"/>
    <w:rsid w:val="002B4009"/>
    <w:rsid w:val="002B4355"/>
    <w:rsid w:val="002B4620"/>
    <w:rsid w:val="002B4A1A"/>
    <w:rsid w:val="002B4BC5"/>
    <w:rsid w:val="002B4D04"/>
    <w:rsid w:val="002B56B6"/>
    <w:rsid w:val="002B5C36"/>
    <w:rsid w:val="002B62CF"/>
    <w:rsid w:val="002B6A70"/>
    <w:rsid w:val="002B716E"/>
    <w:rsid w:val="002B7C65"/>
    <w:rsid w:val="002B7DC5"/>
    <w:rsid w:val="002C07F0"/>
    <w:rsid w:val="002C09E2"/>
    <w:rsid w:val="002C0B9B"/>
    <w:rsid w:val="002C0F0C"/>
    <w:rsid w:val="002C1056"/>
    <w:rsid w:val="002C1873"/>
    <w:rsid w:val="002C1A8B"/>
    <w:rsid w:val="002C25E4"/>
    <w:rsid w:val="002C27B3"/>
    <w:rsid w:val="002C2D57"/>
    <w:rsid w:val="002C3111"/>
    <w:rsid w:val="002C3379"/>
    <w:rsid w:val="002C39FD"/>
    <w:rsid w:val="002C3F43"/>
    <w:rsid w:val="002C404C"/>
    <w:rsid w:val="002C40C1"/>
    <w:rsid w:val="002C4785"/>
    <w:rsid w:val="002C47A5"/>
    <w:rsid w:val="002C4CAD"/>
    <w:rsid w:val="002C502F"/>
    <w:rsid w:val="002C514D"/>
    <w:rsid w:val="002C54BA"/>
    <w:rsid w:val="002C6628"/>
    <w:rsid w:val="002C6F90"/>
    <w:rsid w:val="002C71A5"/>
    <w:rsid w:val="002C7DA7"/>
    <w:rsid w:val="002D06B0"/>
    <w:rsid w:val="002D0C35"/>
    <w:rsid w:val="002D1D84"/>
    <w:rsid w:val="002D1E53"/>
    <w:rsid w:val="002D1E80"/>
    <w:rsid w:val="002D1F0B"/>
    <w:rsid w:val="002D22A7"/>
    <w:rsid w:val="002D24BB"/>
    <w:rsid w:val="002D2B2F"/>
    <w:rsid w:val="002D3455"/>
    <w:rsid w:val="002D3E59"/>
    <w:rsid w:val="002D3FAB"/>
    <w:rsid w:val="002D4616"/>
    <w:rsid w:val="002D476E"/>
    <w:rsid w:val="002D4A21"/>
    <w:rsid w:val="002D4ECC"/>
    <w:rsid w:val="002D4F96"/>
    <w:rsid w:val="002D515E"/>
    <w:rsid w:val="002D5195"/>
    <w:rsid w:val="002D5CF3"/>
    <w:rsid w:val="002D6178"/>
    <w:rsid w:val="002D618D"/>
    <w:rsid w:val="002D629F"/>
    <w:rsid w:val="002D6732"/>
    <w:rsid w:val="002D6744"/>
    <w:rsid w:val="002D6B60"/>
    <w:rsid w:val="002D7738"/>
    <w:rsid w:val="002D7D04"/>
    <w:rsid w:val="002E007B"/>
    <w:rsid w:val="002E0273"/>
    <w:rsid w:val="002E07F2"/>
    <w:rsid w:val="002E0B06"/>
    <w:rsid w:val="002E1114"/>
    <w:rsid w:val="002E165D"/>
    <w:rsid w:val="002E17F2"/>
    <w:rsid w:val="002E19DA"/>
    <w:rsid w:val="002E1DA7"/>
    <w:rsid w:val="002E1ECA"/>
    <w:rsid w:val="002E26E9"/>
    <w:rsid w:val="002E2898"/>
    <w:rsid w:val="002E34AC"/>
    <w:rsid w:val="002E3561"/>
    <w:rsid w:val="002E4E7F"/>
    <w:rsid w:val="002E5411"/>
    <w:rsid w:val="002E6E85"/>
    <w:rsid w:val="002F02B3"/>
    <w:rsid w:val="002F0A18"/>
    <w:rsid w:val="002F162C"/>
    <w:rsid w:val="002F177F"/>
    <w:rsid w:val="002F2539"/>
    <w:rsid w:val="002F3239"/>
    <w:rsid w:val="002F328C"/>
    <w:rsid w:val="002F3CEA"/>
    <w:rsid w:val="002F3F8B"/>
    <w:rsid w:val="002F3FCA"/>
    <w:rsid w:val="002F4309"/>
    <w:rsid w:val="002F47EB"/>
    <w:rsid w:val="002F4C61"/>
    <w:rsid w:val="002F4FDB"/>
    <w:rsid w:val="002F5074"/>
    <w:rsid w:val="002F50D8"/>
    <w:rsid w:val="002F5181"/>
    <w:rsid w:val="002F6115"/>
    <w:rsid w:val="002F6839"/>
    <w:rsid w:val="002F6915"/>
    <w:rsid w:val="002F6952"/>
    <w:rsid w:val="002F6A2C"/>
    <w:rsid w:val="002F7123"/>
    <w:rsid w:val="002F726A"/>
    <w:rsid w:val="002F7389"/>
    <w:rsid w:val="002F738E"/>
    <w:rsid w:val="002F763B"/>
    <w:rsid w:val="002F76B6"/>
    <w:rsid w:val="002F77C8"/>
    <w:rsid w:val="002F7CEC"/>
    <w:rsid w:val="002F7D6C"/>
    <w:rsid w:val="0030028C"/>
    <w:rsid w:val="003006F6"/>
    <w:rsid w:val="003006FF"/>
    <w:rsid w:val="003008D4"/>
    <w:rsid w:val="00300A22"/>
    <w:rsid w:val="00300A2B"/>
    <w:rsid w:val="00300C48"/>
    <w:rsid w:val="00300CAF"/>
    <w:rsid w:val="00300D3F"/>
    <w:rsid w:val="00300D41"/>
    <w:rsid w:val="0030105A"/>
    <w:rsid w:val="00301137"/>
    <w:rsid w:val="00301380"/>
    <w:rsid w:val="0030164C"/>
    <w:rsid w:val="00301E07"/>
    <w:rsid w:val="00302283"/>
    <w:rsid w:val="003022D5"/>
    <w:rsid w:val="00302CB0"/>
    <w:rsid w:val="00302D21"/>
    <w:rsid w:val="003038E7"/>
    <w:rsid w:val="00303C6A"/>
    <w:rsid w:val="00304120"/>
    <w:rsid w:val="0030529A"/>
    <w:rsid w:val="003056F6"/>
    <w:rsid w:val="00305767"/>
    <w:rsid w:val="00305F11"/>
    <w:rsid w:val="00306465"/>
    <w:rsid w:val="003065C7"/>
    <w:rsid w:val="0030681E"/>
    <w:rsid w:val="00306B11"/>
    <w:rsid w:val="00306E1F"/>
    <w:rsid w:val="00306E82"/>
    <w:rsid w:val="00307D06"/>
    <w:rsid w:val="003100B9"/>
    <w:rsid w:val="003102AC"/>
    <w:rsid w:val="00310306"/>
    <w:rsid w:val="00310315"/>
    <w:rsid w:val="0031075A"/>
    <w:rsid w:val="00311838"/>
    <w:rsid w:val="00311888"/>
    <w:rsid w:val="0031289B"/>
    <w:rsid w:val="00312D39"/>
    <w:rsid w:val="00312D82"/>
    <w:rsid w:val="00313671"/>
    <w:rsid w:val="00313CCC"/>
    <w:rsid w:val="003140CE"/>
    <w:rsid w:val="00314751"/>
    <w:rsid w:val="003150F1"/>
    <w:rsid w:val="003153B3"/>
    <w:rsid w:val="00315890"/>
    <w:rsid w:val="00316773"/>
    <w:rsid w:val="0031695C"/>
    <w:rsid w:val="00316E70"/>
    <w:rsid w:val="00317A78"/>
    <w:rsid w:val="00317B7F"/>
    <w:rsid w:val="00317BE5"/>
    <w:rsid w:val="00317CA7"/>
    <w:rsid w:val="00317F8C"/>
    <w:rsid w:val="00320C42"/>
    <w:rsid w:val="00321341"/>
    <w:rsid w:val="003219E5"/>
    <w:rsid w:val="00321CCC"/>
    <w:rsid w:val="003220CD"/>
    <w:rsid w:val="0032296C"/>
    <w:rsid w:val="00322F21"/>
    <w:rsid w:val="003230AE"/>
    <w:rsid w:val="0032340A"/>
    <w:rsid w:val="0032355A"/>
    <w:rsid w:val="003238C9"/>
    <w:rsid w:val="003238F1"/>
    <w:rsid w:val="00323C07"/>
    <w:rsid w:val="00323C39"/>
    <w:rsid w:val="00323E92"/>
    <w:rsid w:val="003242E8"/>
    <w:rsid w:val="003243B1"/>
    <w:rsid w:val="00324580"/>
    <w:rsid w:val="00324867"/>
    <w:rsid w:val="003248A9"/>
    <w:rsid w:val="003248EE"/>
    <w:rsid w:val="00324AED"/>
    <w:rsid w:val="0032515C"/>
    <w:rsid w:val="003251F1"/>
    <w:rsid w:val="00325319"/>
    <w:rsid w:val="003262BB"/>
    <w:rsid w:val="003265CC"/>
    <w:rsid w:val="0032737A"/>
    <w:rsid w:val="00327DC6"/>
    <w:rsid w:val="00327DE7"/>
    <w:rsid w:val="0033007F"/>
    <w:rsid w:val="00330645"/>
    <w:rsid w:val="0033077A"/>
    <w:rsid w:val="0033091E"/>
    <w:rsid w:val="003311A3"/>
    <w:rsid w:val="0033144E"/>
    <w:rsid w:val="003314F8"/>
    <w:rsid w:val="003323E8"/>
    <w:rsid w:val="00332690"/>
    <w:rsid w:val="00332A5B"/>
    <w:rsid w:val="003332A0"/>
    <w:rsid w:val="00333D71"/>
    <w:rsid w:val="00334197"/>
    <w:rsid w:val="0033436D"/>
    <w:rsid w:val="00334AA9"/>
    <w:rsid w:val="00335193"/>
    <w:rsid w:val="00335BA0"/>
    <w:rsid w:val="00336900"/>
    <w:rsid w:val="0033712E"/>
    <w:rsid w:val="0033721A"/>
    <w:rsid w:val="00337FEE"/>
    <w:rsid w:val="003402A4"/>
    <w:rsid w:val="00340576"/>
    <w:rsid w:val="0034064B"/>
    <w:rsid w:val="00340C80"/>
    <w:rsid w:val="0034154F"/>
    <w:rsid w:val="00341ADE"/>
    <w:rsid w:val="003425CB"/>
    <w:rsid w:val="00342996"/>
    <w:rsid w:val="003432B7"/>
    <w:rsid w:val="003433F9"/>
    <w:rsid w:val="00344B47"/>
    <w:rsid w:val="00345B1F"/>
    <w:rsid w:val="00345ECD"/>
    <w:rsid w:val="00346F1D"/>
    <w:rsid w:val="00347DAD"/>
    <w:rsid w:val="0035001A"/>
    <w:rsid w:val="0035055F"/>
    <w:rsid w:val="0035084A"/>
    <w:rsid w:val="00350D2E"/>
    <w:rsid w:val="00351262"/>
    <w:rsid w:val="003519B3"/>
    <w:rsid w:val="0035211F"/>
    <w:rsid w:val="003529D3"/>
    <w:rsid w:val="003534CB"/>
    <w:rsid w:val="003535AA"/>
    <w:rsid w:val="00353859"/>
    <w:rsid w:val="00353A82"/>
    <w:rsid w:val="00353D6D"/>
    <w:rsid w:val="00354881"/>
    <w:rsid w:val="003548AD"/>
    <w:rsid w:val="00354BBF"/>
    <w:rsid w:val="00354D5A"/>
    <w:rsid w:val="0035545B"/>
    <w:rsid w:val="00355ACA"/>
    <w:rsid w:val="00355AE0"/>
    <w:rsid w:val="00355DE2"/>
    <w:rsid w:val="00356E63"/>
    <w:rsid w:val="0035718B"/>
    <w:rsid w:val="003577B4"/>
    <w:rsid w:val="0035780F"/>
    <w:rsid w:val="00360B96"/>
    <w:rsid w:val="00360DC1"/>
    <w:rsid w:val="00360F13"/>
    <w:rsid w:val="0036136F"/>
    <w:rsid w:val="003614D8"/>
    <w:rsid w:val="00361A8E"/>
    <w:rsid w:val="00361B84"/>
    <w:rsid w:val="003621F1"/>
    <w:rsid w:val="003622B9"/>
    <w:rsid w:val="003624A7"/>
    <w:rsid w:val="00362754"/>
    <w:rsid w:val="00362BE7"/>
    <w:rsid w:val="00362C8E"/>
    <w:rsid w:val="003633CF"/>
    <w:rsid w:val="00363EFA"/>
    <w:rsid w:val="00364084"/>
    <w:rsid w:val="00364287"/>
    <w:rsid w:val="003645C7"/>
    <w:rsid w:val="0036486C"/>
    <w:rsid w:val="00364A18"/>
    <w:rsid w:val="00364C00"/>
    <w:rsid w:val="0036548D"/>
    <w:rsid w:val="003655F1"/>
    <w:rsid w:val="00365977"/>
    <w:rsid w:val="003664D7"/>
    <w:rsid w:val="003664FD"/>
    <w:rsid w:val="00367452"/>
    <w:rsid w:val="003679DE"/>
    <w:rsid w:val="003702B6"/>
    <w:rsid w:val="00370D9C"/>
    <w:rsid w:val="003710D4"/>
    <w:rsid w:val="003711A7"/>
    <w:rsid w:val="0037124B"/>
    <w:rsid w:val="003717B2"/>
    <w:rsid w:val="00371EAF"/>
    <w:rsid w:val="00371EC7"/>
    <w:rsid w:val="00372AA0"/>
    <w:rsid w:val="00372AFB"/>
    <w:rsid w:val="00373240"/>
    <w:rsid w:val="0037330A"/>
    <w:rsid w:val="003733B9"/>
    <w:rsid w:val="0037390F"/>
    <w:rsid w:val="00374E01"/>
    <w:rsid w:val="003753A9"/>
    <w:rsid w:val="0037582C"/>
    <w:rsid w:val="00376097"/>
    <w:rsid w:val="0037623B"/>
    <w:rsid w:val="003766F5"/>
    <w:rsid w:val="003767F5"/>
    <w:rsid w:val="00377755"/>
    <w:rsid w:val="00377A49"/>
    <w:rsid w:val="003803DD"/>
    <w:rsid w:val="00380543"/>
    <w:rsid w:val="003808DC"/>
    <w:rsid w:val="00380D2F"/>
    <w:rsid w:val="00380D56"/>
    <w:rsid w:val="003810FE"/>
    <w:rsid w:val="003812ED"/>
    <w:rsid w:val="00381364"/>
    <w:rsid w:val="00382238"/>
    <w:rsid w:val="0038250E"/>
    <w:rsid w:val="00382833"/>
    <w:rsid w:val="00382861"/>
    <w:rsid w:val="00382B43"/>
    <w:rsid w:val="00383707"/>
    <w:rsid w:val="00383940"/>
    <w:rsid w:val="00384DD9"/>
    <w:rsid w:val="00385B13"/>
    <w:rsid w:val="00385CA7"/>
    <w:rsid w:val="0038606F"/>
    <w:rsid w:val="003868D9"/>
    <w:rsid w:val="003876BB"/>
    <w:rsid w:val="00387934"/>
    <w:rsid w:val="003908E3"/>
    <w:rsid w:val="003908F9"/>
    <w:rsid w:val="003909FE"/>
    <w:rsid w:val="00390FC0"/>
    <w:rsid w:val="00392D97"/>
    <w:rsid w:val="00392EC0"/>
    <w:rsid w:val="00392FC9"/>
    <w:rsid w:val="003938CF"/>
    <w:rsid w:val="00394279"/>
    <w:rsid w:val="0039485D"/>
    <w:rsid w:val="00394866"/>
    <w:rsid w:val="0039541F"/>
    <w:rsid w:val="003954EB"/>
    <w:rsid w:val="00395565"/>
    <w:rsid w:val="00396598"/>
    <w:rsid w:val="003967F1"/>
    <w:rsid w:val="003968AD"/>
    <w:rsid w:val="0039691C"/>
    <w:rsid w:val="00396C20"/>
    <w:rsid w:val="003978DB"/>
    <w:rsid w:val="003A0075"/>
    <w:rsid w:val="003A007E"/>
    <w:rsid w:val="003A00C4"/>
    <w:rsid w:val="003A04C6"/>
    <w:rsid w:val="003A04CC"/>
    <w:rsid w:val="003A066A"/>
    <w:rsid w:val="003A10D8"/>
    <w:rsid w:val="003A11C2"/>
    <w:rsid w:val="003A14BB"/>
    <w:rsid w:val="003A1934"/>
    <w:rsid w:val="003A1B2C"/>
    <w:rsid w:val="003A3C02"/>
    <w:rsid w:val="003A3EFB"/>
    <w:rsid w:val="003A3FC8"/>
    <w:rsid w:val="003A40E7"/>
    <w:rsid w:val="003A5772"/>
    <w:rsid w:val="003A5BB0"/>
    <w:rsid w:val="003A6469"/>
    <w:rsid w:val="003A6809"/>
    <w:rsid w:val="003A6A56"/>
    <w:rsid w:val="003A6FD3"/>
    <w:rsid w:val="003A77FA"/>
    <w:rsid w:val="003A7BA0"/>
    <w:rsid w:val="003B0298"/>
    <w:rsid w:val="003B0B22"/>
    <w:rsid w:val="003B0C16"/>
    <w:rsid w:val="003B1B9F"/>
    <w:rsid w:val="003B1E7A"/>
    <w:rsid w:val="003B2142"/>
    <w:rsid w:val="003B27B2"/>
    <w:rsid w:val="003B2BC7"/>
    <w:rsid w:val="003B31C6"/>
    <w:rsid w:val="003B3B09"/>
    <w:rsid w:val="003B3D49"/>
    <w:rsid w:val="003B3F82"/>
    <w:rsid w:val="003B406D"/>
    <w:rsid w:val="003B41C3"/>
    <w:rsid w:val="003B432A"/>
    <w:rsid w:val="003B489E"/>
    <w:rsid w:val="003B4C4F"/>
    <w:rsid w:val="003B4F3F"/>
    <w:rsid w:val="003B5141"/>
    <w:rsid w:val="003B5694"/>
    <w:rsid w:val="003B60F4"/>
    <w:rsid w:val="003B68EF"/>
    <w:rsid w:val="003B6D49"/>
    <w:rsid w:val="003B6F90"/>
    <w:rsid w:val="003B7B07"/>
    <w:rsid w:val="003B7D04"/>
    <w:rsid w:val="003C019B"/>
    <w:rsid w:val="003C0921"/>
    <w:rsid w:val="003C0A7D"/>
    <w:rsid w:val="003C0D21"/>
    <w:rsid w:val="003C0E50"/>
    <w:rsid w:val="003C104A"/>
    <w:rsid w:val="003C12D4"/>
    <w:rsid w:val="003C1305"/>
    <w:rsid w:val="003C14EF"/>
    <w:rsid w:val="003C1DBD"/>
    <w:rsid w:val="003C2BE5"/>
    <w:rsid w:val="003C2DFD"/>
    <w:rsid w:val="003C37D7"/>
    <w:rsid w:val="003C42CD"/>
    <w:rsid w:val="003C4EA2"/>
    <w:rsid w:val="003C5477"/>
    <w:rsid w:val="003C5630"/>
    <w:rsid w:val="003C564F"/>
    <w:rsid w:val="003C5865"/>
    <w:rsid w:val="003C5AAC"/>
    <w:rsid w:val="003C5AC6"/>
    <w:rsid w:val="003C6124"/>
    <w:rsid w:val="003C66B8"/>
    <w:rsid w:val="003C6C81"/>
    <w:rsid w:val="003C6E7F"/>
    <w:rsid w:val="003C6EEE"/>
    <w:rsid w:val="003C6F1D"/>
    <w:rsid w:val="003C7DDC"/>
    <w:rsid w:val="003D04C4"/>
    <w:rsid w:val="003D05B1"/>
    <w:rsid w:val="003D07C9"/>
    <w:rsid w:val="003D07CD"/>
    <w:rsid w:val="003D0CF8"/>
    <w:rsid w:val="003D14EE"/>
    <w:rsid w:val="003D1629"/>
    <w:rsid w:val="003D1CEF"/>
    <w:rsid w:val="003D1FBA"/>
    <w:rsid w:val="003D21E1"/>
    <w:rsid w:val="003D2341"/>
    <w:rsid w:val="003D246E"/>
    <w:rsid w:val="003D26E4"/>
    <w:rsid w:val="003D26FB"/>
    <w:rsid w:val="003D2847"/>
    <w:rsid w:val="003D2BE3"/>
    <w:rsid w:val="003D2E76"/>
    <w:rsid w:val="003D323A"/>
    <w:rsid w:val="003D3604"/>
    <w:rsid w:val="003D3AC4"/>
    <w:rsid w:val="003D42A4"/>
    <w:rsid w:val="003D4570"/>
    <w:rsid w:val="003D48F9"/>
    <w:rsid w:val="003D4D8C"/>
    <w:rsid w:val="003D569B"/>
    <w:rsid w:val="003D5A74"/>
    <w:rsid w:val="003D61F5"/>
    <w:rsid w:val="003D6507"/>
    <w:rsid w:val="003D6D6D"/>
    <w:rsid w:val="003D742F"/>
    <w:rsid w:val="003D788B"/>
    <w:rsid w:val="003D78D4"/>
    <w:rsid w:val="003E038D"/>
    <w:rsid w:val="003E0756"/>
    <w:rsid w:val="003E0929"/>
    <w:rsid w:val="003E0B82"/>
    <w:rsid w:val="003E0E6C"/>
    <w:rsid w:val="003E1A3D"/>
    <w:rsid w:val="003E216A"/>
    <w:rsid w:val="003E2342"/>
    <w:rsid w:val="003E2534"/>
    <w:rsid w:val="003E284E"/>
    <w:rsid w:val="003E311D"/>
    <w:rsid w:val="003E32BE"/>
    <w:rsid w:val="003E353B"/>
    <w:rsid w:val="003E35AF"/>
    <w:rsid w:val="003E364D"/>
    <w:rsid w:val="003E379F"/>
    <w:rsid w:val="003E4093"/>
    <w:rsid w:val="003E423E"/>
    <w:rsid w:val="003E4326"/>
    <w:rsid w:val="003E4AAC"/>
    <w:rsid w:val="003E4AD9"/>
    <w:rsid w:val="003E509D"/>
    <w:rsid w:val="003E5151"/>
    <w:rsid w:val="003E51BF"/>
    <w:rsid w:val="003E55AA"/>
    <w:rsid w:val="003E5F0B"/>
    <w:rsid w:val="003E5F98"/>
    <w:rsid w:val="003E5FD6"/>
    <w:rsid w:val="003E6512"/>
    <w:rsid w:val="003E6786"/>
    <w:rsid w:val="003E6E06"/>
    <w:rsid w:val="003E7149"/>
    <w:rsid w:val="003E7478"/>
    <w:rsid w:val="003E7B0E"/>
    <w:rsid w:val="003F03B8"/>
    <w:rsid w:val="003F0B67"/>
    <w:rsid w:val="003F0E10"/>
    <w:rsid w:val="003F14BE"/>
    <w:rsid w:val="003F1575"/>
    <w:rsid w:val="003F1692"/>
    <w:rsid w:val="003F1A97"/>
    <w:rsid w:val="003F1BBD"/>
    <w:rsid w:val="003F1D6E"/>
    <w:rsid w:val="003F3406"/>
    <w:rsid w:val="003F4817"/>
    <w:rsid w:val="003F4AF0"/>
    <w:rsid w:val="003F4B49"/>
    <w:rsid w:val="003F4C95"/>
    <w:rsid w:val="003F4FFE"/>
    <w:rsid w:val="003F53B0"/>
    <w:rsid w:val="003F5446"/>
    <w:rsid w:val="003F55DE"/>
    <w:rsid w:val="003F58C9"/>
    <w:rsid w:val="003F58D4"/>
    <w:rsid w:val="003F5D82"/>
    <w:rsid w:val="003F672C"/>
    <w:rsid w:val="003F6874"/>
    <w:rsid w:val="003F717B"/>
    <w:rsid w:val="00400212"/>
    <w:rsid w:val="00400B84"/>
    <w:rsid w:val="00400E15"/>
    <w:rsid w:val="00400ECF"/>
    <w:rsid w:val="0040103B"/>
    <w:rsid w:val="004016DD"/>
    <w:rsid w:val="0040189A"/>
    <w:rsid w:val="00401EF0"/>
    <w:rsid w:val="00402534"/>
    <w:rsid w:val="004029F1"/>
    <w:rsid w:val="00402F0C"/>
    <w:rsid w:val="004039F0"/>
    <w:rsid w:val="00403A03"/>
    <w:rsid w:val="00403C15"/>
    <w:rsid w:val="0040414A"/>
    <w:rsid w:val="00404182"/>
    <w:rsid w:val="00404496"/>
    <w:rsid w:val="00404769"/>
    <w:rsid w:val="00404DB1"/>
    <w:rsid w:val="004053D3"/>
    <w:rsid w:val="0040557C"/>
    <w:rsid w:val="00405D2B"/>
    <w:rsid w:val="00406645"/>
    <w:rsid w:val="00406A24"/>
    <w:rsid w:val="00406CCA"/>
    <w:rsid w:val="00406D10"/>
    <w:rsid w:val="00407206"/>
    <w:rsid w:val="00410C6A"/>
    <w:rsid w:val="0041119F"/>
    <w:rsid w:val="0041182F"/>
    <w:rsid w:val="00411C08"/>
    <w:rsid w:val="00411F73"/>
    <w:rsid w:val="004122D8"/>
    <w:rsid w:val="0041242D"/>
    <w:rsid w:val="00412436"/>
    <w:rsid w:val="0041268B"/>
    <w:rsid w:val="004126D8"/>
    <w:rsid w:val="00412B6C"/>
    <w:rsid w:val="004135DA"/>
    <w:rsid w:val="0041378E"/>
    <w:rsid w:val="00413FCB"/>
    <w:rsid w:val="0041403F"/>
    <w:rsid w:val="0041419B"/>
    <w:rsid w:val="00414290"/>
    <w:rsid w:val="0041443F"/>
    <w:rsid w:val="00415019"/>
    <w:rsid w:val="004154AC"/>
    <w:rsid w:val="00415BDF"/>
    <w:rsid w:val="004164F3"/>
    <w:rsid w:val="00416ADB"/>
    <w:rsid w:val="00416E63"/>
    <w:rsid w:val="00416F01"/>
    <w:rsid w:val="00417152"/>
    <w:rsid w:val="004174CB"/>
    <w:rsid w:val="004174E6"/>
    <w:rsid w:val="0041789B"/>
    <w:rsid w:val="00420441"/>
    <w:rsid w:val="004208EF"/>
    <w:rsid w:val="00420DA7"/>
    <w:rsid w:val="00420EFB"/>
    <w:rsid w:val="00421020"/>
    <w:rsid w:val="004229F3"/>
    <w:rsid w:val="00422FB1"/>
    <w:rsid w:val="004230F2"/>
    <w:rsid w:val="004231CA"/>
    <w:rsid w:val="00423849"/>
    <w:rsid w:val="004239C6"/>
    <w:rsid w:val="00423DD7"/>
    <w:rsid w:val="00423FE8"/>
    <w:rsid w:val="0042422C"/>
    <w:rsid w:val="00424509"/>
    <w:rsid w:val="00424965"/>
    <w:rsid w:val="0042508D"/>
    <w:rsid w:val="004251E6"/>
    <w:rsid w:val="004253FC"/>
    <w:rsid w:val="00425BB7"/>
    <w:rsid w:val="00425DB6"/>
    <w:rsid w:val="00425DFA"/>
    <w:rsid w:val="00426598"/>
    <w:rsid w:val="004266A5"/>
    <w:rsid w:val="004268E0"/>
    <w:rsid w:val="00427287"/>
    <w:rsid w:val="004273C6"/>
    <w:rsid w:val="00427D3A"/>
    <w:rsid w:val="00427FF2"/>
    <w:rsid w:val="00430387"/>
    <w:rsid w:val="00430433"/>
    <w:rsid w:val="0043055F"/>
    <w:rsid w:val="00430602"/>
    <w:rsid w:val="0043070D"/>
    <w:rsid w:val="00431910"/>
    <w:rsid w:val="00431A03"/>
    <w:rsid w:val="00432049"/>
    <w:rsid w:val="00432501"/>
    <w:rsid w:val="0043278E"/>
    <w:rsid w:val="00432AC0"/>
    <w:rsid w:val="0043331A"/>
    <w:rsid w:val="004336D0"/>
    <w:rsid w:val="00433CAC"/>
    <w:rsid w:val="004342F9"/>
    <w:rsid w:val="00434579"/>
    <w:rsid w:val="00434734"/>
    <w:rsid w:val="00434C14"/>
    <w:rsid w:val="00434D70"/>
    <w:rsid w:val="00436069"/>
    <w:rsid w:val="004364F4"/>
    <w:rsid w:val="00437612"/>
    <w:rsid w:val="00437692"/>
    <w:rsid w:val="0044026C"/>
    <w:rsid w:val="00440812"/>
    <w:rsid w:val="004408C6"/>
    <w:rsid w:val="00441584"/>
    <w:rsid w:val="004417CD"/>
    <w:rsid w:val="0044184F"/>
    <w:rsid w:val="00441BC5"/>
    <w:rsid w:val="0044251F"/>
    <w:rsid w:val="00442738"/>
    <w:rsid w:val="00442ACE"/>
    <w:rsid w:val="004430BA"/>
    <w:rsid w:val="00443795"/>
    <w:rsid w:val="00443A50"/>
    <w:rsid w:val="00443B3B"/>
    <w:rsid w:val="004445B0"/>
    <w:rsid w:val="00444F4C"/>
    <w:rsid w:val="00445202"/>
    <w:rsid w:val="00445272"/>
    <w:rsid w:val="00445637"/>
    <w:rsid w:val="00445A07"/>
    <w:rsid w:val="00445B95"/>
    <w:rsid w:val="00445EF4"/>
    <w:rsid w:val="004460AB"/>
    <w:rsid w:val="004464D4"/>
    <w:rsid w:val="00446D75"/>
    <w:rsid w:val="004470CC"/>
    <w:rsid w:val="00447749"/>
    <w:rsid w:val="004479E0"/>
    <w:rsid w:val="00447AA3"/>
    <w:rsid w:val="00447AC4"/>
    <w:rsid w:val="00450031"/>
    <w:rsid w:val="0045041B"/>
    <w:rsid w:val="00450889"/>
    <w:rsid w:val="00450BAD"/>
    <w:rsid w:val="00451091"/>
    <w:rsid w:val="00451630"/>
    <w:rsid w:val="00451B1C"/>
    <w:rsid w:val="00451B6D"/>
    <w:rsid w:val="0045220E"/>
    <w:rsid w:val="00452602"/>
    <w:rsid w:val="00453184"/>
    <w:rsid w:val="00453266"/>
    <w:rsid w:val="00453F6F"/>
    <w:rsid w:val="0045466F"/>
    <w:rsid w:val="00454864"/>
    <w:rsid w:val="00454A90"/>
    <w:rsid w:val="00454D1B"/>
    <w:rsid w:val="00454D87"/>
    <w:rsid w:val="00454E47"/>
    <w:rsid w:val="004551F3"/>
    <w:rsid w:val="004562F5"/>
    <w:rsid w:val="0045671A"/>
    <w:rsid w:val="004567A0"/>
    <w:rsid w:val="00456A5E"/>
    <w:rsid w:val="00456CD6"/>
    <w:rsid w:val="00456E27"/>
    <w:rsid w:val="00457132"/>
    <w:rsid w:val="004571F1"/>
    <w:rsid w:val="00457BA2"/>
    <w:rsid w:val="004605A5"/>
    <w:rsid w:val="00460671"/>
    <w:rsid w:val="004609FC"/>
    <w:rsid w:val="00460FD0"/>
    <w:rsid w:val="00461293"/>
    <w:rsid w:val="00461A7E"/>
    <w:rsid w:val="00461E03"/>
    <w:rsid w:val="00461EB9"/>
    <w:rsid w:val="00462644"/>
    <w:rsid w:val="004626E3"/>
    <w:rsid w:val="004637DF"/>
    <w:rsid w:val="00464563"/>
    <w:rsid w:val="00464A1B"/>
    <w:rsid w:val="00464AD8"/>
    <w:rsid w:val="00464EF0"/>
    <w:rsid w:val="00465635"/>
    <w:rsid w:val="00465868"/>
    <w:rsid w:val="00466E8C"/>
    <w:rsid w:val="00467109"/>
    <w:rsid w:val="004673F0"/>
    <w:rsid w:val="00467533"/>
    <w:rsid w:val="0046759B"/>
    <w:rsid w:val="00470723"/>
    <w:rsid w:val="004707A7"/>
    <w:rsid w:val="00470DE7"/>
    <w:rsid w:val="00470F5F"/>
    <w:rsid w:val="00470F99"/>
    <w:rsid w:val="00471749"/>
    <w:rsid w:val="0047250D"/>
    <w:rsid w:val="00472591"/>
    <w:rsid w:val="00472611"/>
    <w:rsid w:val="00473965"/>
    <w:rsid w:val="00473B67"/>
    <w:rsid w:val="004741BE"/>
    <w:rsid w:val="004745E4"/>
    <w:rsid w:val="004746FF"/>
    <w:rsid w:val="00474807"/>
    <w:rsid w:val="0047484C"/>
    <w:rsid w:val="00474AA6"/>
    <w:rsid w:val="00474D1D"/>
    <w:rsid w:val="0047504F"/>
    <w:rsid w:val="00475326"/>
    <w:rsid w:val="0047560D"/>
    <w:rsid w:val="00475721"/>
    <w:rsid w:val="00475775"/>
    <w:rsid w:val="0047623B"/>
    <w:rsid w:val="0047636B"/>
    <w:rsid w:val="004778B6"/>
    <w:rsid w:val="004813D8"/>
    <w:rsid w:val="004814CF"/>
    <w:rsid w:val="00481720"/>
    <w:rsid w:val="00481869"/>
    <w:rsid w:val="00481BB6"/>
    <w:rsid w:val="004826AB"/>
    <w:rsid w:val="0048343C"/>
    <w:rsid w:val="00483760"/>
    <w:rsid w:val="004837B7"/>
    <w:rsid w:val="00483DCA"/>
    <w:rsid w:val="00484036"/>
    <w:rsid w:val="00484337"/>
    <w:rsid w:val="00484C7F"/>
    <w:rsid w:val="00484C9D"/>
    <w:rsid w:val="00484CD5"/>
    <w:rsid w:val="004853CB"/>
    <w:rsid w:val="004857B7"/>
    <w:rsid w:val="00485D7B"/>
    <w:rsid w:val="00485EA2"/>
    <w:rsid w:val="00486222"/>
    <w:rsid w:val="00486333"/>
    <w:rsid w:val="004869CD"/>
    <w:rsid w:val="00486E50"/>
    <w:rsid w:val="0048704E"/>
    <w:rsid w:val="0048764E"/>
    <w:rsid w:val="00487939"/>
    <w:rsid w:val="00490120"/>
    <w:rsid w:val="00490AE9"/>
    <w:rsid w:val="00490D02"/>
    <w:rsid w:val="00491451"/>
    <w:rsid w:val="00491616"/>
    <w:rsid w:val="00491DF8"/>
    <w:rsid w:val="00491F7E"/>
    <w:rsid w:val="00492315"/>
    <w:rsid w:val="0049289F"/>
    <w:rsid w:val="00492A9C"/>
    <w:rsid w:val="00492BD9"/>
    <w:rsid w:val="00492DEE"/>
    <w:rsid w:val="004937A8"/>
    <w:rsid w:val="00493845"/>
    <w:rsid w:val="00493B91"/>
    <w:rsid w:val="00493E73"/>
    <w:rsid w:val="00493FDE"/>
    <w:rsid w:val="004940E8"/>
    <w:rsid w:val="004940FF"/>
    <w:rsid w:val="004948A5"/>
    <w:rsid w:val="00494BD5"/>
    <w:rsid w:val="00495251"/>
    <w:rsid w:val="00495AAF"/>
    <w:rsid w:val="00496059"/>
    <w:rsid w:val="00496179"/>
    <w:rsid w:val="00496281"/>
    <w:rsid w:val="0049677F"/>
    <w:rsid w:val="00496EEC"/>
    <w:rsid w:val="004974D8"/>
    <w:rsid w:val="0049750C"/>
    <w:rsid w:val="00497C48"/>
    <w:rsid w:val="004A06C4"/>
    <w:rsid w:val="004A08A6"/>
    <w:rsid w:val="004A0A3B"/>
    <w:rsid w:val="004A0B2C"/>
    <w:rsid w:val="004A0CDF"/>
    <w:rsid w:val="004A2115"/>
    <w:rsid w:val="004A21C7"/>
    <w:rsid w:val="004A283B"/>
    <w:rsid w:val="004A2C7A"/>
    <w:rsid w:val="004A3BD1"/>
    <w:rsid w:val="004A3CCA"/>
    <w:rsid w:val="004A4186"/>
    <w:rsid w:val="004A47D8"/>
    <w:rsid w:val="004A48DD"/>
    <w:rsid w:val="004A4AC0"/>
    <w:rsid w:val="004A5196"/>
    <w:rsid w:val="004A6769"/>
    <w:rsid w:val="004A6AF6"/>
    <w:rsid w:val="004A6DB4"/>
    <w:rsid w:val="004A7DAD"/>
    <w:rsid w:val="004A7F9F"/>
    <w:rsid w:val="004B01E9"/>
    <w:rsid w:val="004B034F"/>
    <w:rsid w:val="004B0742"/>
    <w:rsid w:val="004B0D58"/>
    <w:rsid w:val="004B1561"/>
    <w:rsid w:val="004B1AEC"/>
    <w:rsid w:val="004B20A1"/>
    <w:rsid w:val="004B22DF"/>
    <w:rsid w:val="004B3036"/>
    <w:rsid w:val="004B30B6"/>
    <w:rsid w:val="004B358F"/>
    <w:rsid w:val="004B3989"/>
    <w:rsid w:val="004B3A18"/>
    <w:rsid w:val="004B3FC5"/>
    <w:rsid w:val="004B4229"/>
    <w:rsid w:val="004B433D"/>
    <w:rsid w:val="004B433E"/>
    <w:rsid w:val="004B442B"/>
    <w:rsid w:val="004B4909"/>
    <w:rsid w:val="004B49ED"/>
    <w:rsid w:val="004B4F55"/>
    <w:rsid w:val="004B53E7"/>
    <w:rsid w:val="004B56CB"/>
    <w:rsid w:val="004B6512"/>
    <w:rsid w:val="004B6820"/>
    <w:rsid w:val="004B6D0F"/>
    <w:rsid w:val="004B6DC6"/>
    <w:rsid w:val="004B701F"/>
    <w:rsid w:val="004B7924"/>
    <w:rsid w:val="004B7E24"/>
    <w:rsid w:val="004C0653"/>
    <w:rsid w:val="004C089A"/>
    <w:rsid w:val="004C0B9E"/>
    <w:rsid w:val="004C0DE0"/>
    <w:rsid w:val="004C13EF"/>
    <w:rsid w:val="004C1A7F"/>
    <w:rsid w:val="004C1E74"/>
    <w:rsid w:val="004C1FCE"/>
    <w:rsid w:val="004C20AF"/>
    <w:rsid w:val="004C27F7"/>
    <w:rsid w:val="004C28C7"/>
    <w:rsid w:val="004C2E78"/>
    <w:rsid w:val="004C300F"/>
    <w:rsid w:val="004C3121"/>
    <w:rsid w:val="004C35E8"/>
    <w:rsid w:val="004C3995"/>
    <w:rsid w:val="004C3A20"/>
    <w:rsid w:val="004C4402"/>
    <w:rsid w:val="004C53C4"/>
    <w:rsid w:val="004C59B7"/>
    <w:rsid w:val="004C6887"/>
    <w:rsid w:val="004C782D"/>
    <w:rsid w:val="004C7B1E"/>
    <w:rsid w:val="004C7C75"/>
    <w:rsid w:val="004C7C76"/>
    <w:rsid w:val="004C7FC1"/>
    <w:rsid w:val="004C7FD6"/>
    <w:rsid w:val="004D0C2A"/>
    <w:rsid w:val="004D0DAD"/>
    <w:rsid w:val="004D0E7C"/>
    <w:rsid w:val="004D0EA9"/>
    <w:rsid w:val="004D1580"/>
    <w:rsid w:val="004D17C7"/>
    <w:rsid w:val="004D1FCE"/>
    <w:rsid w:val="004D213A"/>
    <w:rsid w:val="004D288A"/>
    <w:rsid w:val="004D2A40"/>
    <w:rsid w:val="004D33A1"/>
    <w:rsid w:val="004D37D8"/>
    <w:rsid w:val="004D3B36"/>
    <w:rsid w:val="004D3F57"/>
    <w:rsid w:val="004D49B6"/>
    <w:rsid w:val="004D54AE"/>
    <w:rsid w:val="004D6753"/>
    <w:rsid w:val="004D6839"/>
    <w:rsid w:val="004D6888"/>
    <w:rsid w:val="004D7A1D"/>
    <w:rsid w:val="004D7DC4"/>
    <w:rsid w:val="004D7FEB"/>
    <w:rsid w:val="004E06F2"/>
    <w:rsid w:val="004E07FC"/>
    <w:rsid w:val="004E09FF"/>
    <w:rsid w:val="004E1A0A"/>
    <w:rsid w:val="004E22CE"/>
    <w:rsid w:val="004E24C5"/>
    <w:rsid w:val="004E3017"/>
    <w:rsid w:val="004E3198"/>
    <w:rsid w:val="004E34CC"/>
    <w:rsid w:val="004E36AB"/>
    <w:rsid w:val="004E3E61"/>
    <w:rsid w:val="004E40E6"/>
    <w:rsid w:val="004E4917"/>
    <w:rsid w:val="004E51B6"/>
    <w:rsid w:val="004E5473"/>
    <w:rsid w:val="004E6070"/>
    <w:rsid w:val="004E6313"/>
    <w:rsid w:val="004E6DA9"/>
    <w:rsid w:val="004E7EFB"/>
    <w:rsid w:val="004E7F24"/>
    <w:rsid w:val="004F0296"/>
    <w:rsid w:val="004F0733"/>
    <w:rsid w:val="004F0E2E"/>
    <w:rsid w:val="004F0F94"/>
    <w:rsid w:val="004F11A6"/>
    <w:rsid w:val="004F1248"/>
    <w:rsid w:val="004F188A"/>
    <w:rsid w:val="004F18E3"/>
    <w:rsid w:val="004F1B0B"/>
    <w:rsid w:val="004F2060"/>
    <w:rsid w:val="004F2BDB"/>
    <w:rsid w:val="004F2DFD"/>
    <w:rsid w:val="004F3224"/>
    <w:rsid w:val="004F3446"/>
    <w:rsid w:val="004F35E0"/>
    <w:rsid w:val="004F3AFC"/>
    <w:rsid w:val="004F4879"/>
    <w:rsid w:val="004F4EFE"/>
    <w:rsid w:val="004F5644"/>
    <w:rsid w:val="004F6118"/>
    <w:rsid w:val="004F6426"/>
    <w:rsid w:val="004F6486"/>
    <w:rsid w:val="004F6F9A"/>
    <w:rsid w:val="004F76C6"/>
    <w:rsid w:val="00500569"/>
    <w:rsid w:val="00500AB2"/>
    <w:rsid w:val="00500BF0"/>
    <w:rsid w:val="00500DA7"/>
    <w:rsid w:val="005011BD"/>
    <w:rsid w:val="005016BC"/>
    <w:rsid w:val="00501A70"/>
    <w:rsid w:val="00501C6A"/>
    <w:rsid w:val="00501CF2"/>
    <w:rsid w:val="00502891"/>
    <w:rsid w:val="0050294C"/>
    <w:rsid w:val="00503B39"/>
    <w:rsid w:val="00503C9E"/>
    <w:rsid w:val="0050507B"/>
    <w:rsid w:val="005050A3"/>
    <w:rsid w:val="00505570"/>
    <w:rsid w:val="00505649"/>
    <w:rsid w:val="00505CEF"/>
    <w:rsid w:val="00506133"/>
    <w:rsid w:val="005068E7"/>
    <w:rsid w:val="00506B5C"/>
    <w:rsid w:val="00506B67"/>
    <w:rsid w:val="00506F65"/>
    <w:rsid w:val="00506FBD"/>
    <w:rsid w:val="005071A8"/>
    <w:rsid w:val="005073B9"/>
    <w:rsid w:val="00507EF4"/>
    <w:rsid w:val="00510175"/>
    <w:rsid w:val="00510AAC"/>
    <w:rsid w:val="00510E78"/>
    <w:rsid w:val="00511113"/>
    <w:rsid w:val="0051111D"/>
    <w:rsid w:val="00511B34"/>
    <w:rsid w:val="00511DE7"/>
    <w:rsid w:val="00512145"/>
    <w:rsid w:val="00512AFF"/>
    <w:rsid w:val="005135B2"/>
    <w:rsid w:val="00513CA9"/>
    <w:rsid w:val="00513FE0"/>
    <w:rsid w:val="005140C0"/>
    <w:rsid w:val="005145D4"/>
    <w:rsid w:val="00514DE9"/>
    <w:rsid w:val="005159E2"/>
    <w:rsid w:val="00515F4E"/>
    <w:rsid w:val="00515FD1"/>
    <w:rsid w:val="0051637A"/>
    <w:rsid w:val="00516F61"/>
    <w:rsid w:val="00517169"/>
    <w:rsid w:val="005178D1"/>
    <w:rsid w:val="00517AED"/>
    <w:rsid w:val="0052043C"/>
    <w:rsid w:val="0052072C"/>
    <w:rsid w:val="00520871"/>
    <w:rsid w:val="00521171"/>
    <w:rsid w:val="005220D7"/>
    <w:rsid w:val="00522857"/>
    <w:rsid w:val="005229E8"/>
    <w:rsid w:val="00522E07"/>
    <w:rsid w:val="00522EA8"/>
    <w:rsid w:val="00523215"/>
    <w:rsid w:val="00523B2E"/>
    <w:rsid w:val="005241C9"/>
    <w:rsid w:val="00524A53"/>
    <w:rsid w:val="00524A91"/>
    <w:rsid w:val="00525543"/>
    <w:rsid w:val="00525B45"/>
    <w:rsid w:val="00525CB0"/>
    <w:rsid w:val="00525D3C"/>
    <w:rsid w:val="0052693C"/>
    <w:rsid w:val="00526CC1"/>
    <w:rsid w:val="00526ED9"/>
    <w:rsid w:val="005272F7"/>
    <w:rsid w:val="005272FD"/>
    <w:rsid w:val="005274B8"/>
    <w:rsid w:val="00527645"/>
    <w:rsid w:val="005276B7"/>
    <w:rsid w:val="0053031B"/>
    <w:rsid w:val="005304B2"/>
    <w:rsid w:val="005309BE"/>
    <w:rsid w:val="00531232"/>
    <w:rsid w:val="005313C1"/>
    <w:rsid w:val="00531424"/>
    <w:rsid w:val="00531C4F"/>
    <w:rsid w:val="005322D3"/>
    <w:rsid w:val="0053244B"/>
    <w:rsid w:val="00532585"/>
    <w:rsid w:val="00532CD3"/>
    <w:rsid w:val="00532FFC"/>
    <w:rsid w:val="005339D9"/>
    <w:rsid w:val="00533B6A"/>
    <w:rsid w:val="00533B88"/>
    <w:rsid w:val="00533CF4"/>
    <w:rsid w:val="0053405B"/>
    <w:rsid w:val="005340BA"/>
    <w:rsid w:val="00534518"/>
    <w:rsid w:val="00534EF0"/>
    <w:rsid w:val="005356B7"/>
    <w:rsid w:val="005359F9"/>
    <w:rsid w:val="00535C4A"/>
    <w:rsid w:val="005362D1"/>
    <w:rsid w:val="00536721"/>
    <w:rsid w:val="00536B4D"/>
    <w:rsid w:val="00536D52"/>
    <w:rsid w:val="0053722C"/>
    <w:rsid w:val="00540282"/>
    <w:rsid w:val="00540DAD"/>
    <w:rsid w:val="0054140D"/>
    <w:rsid w:val="0054150B"/>
    <w:rsid w:val="00541628"/>
    <w:rsid w:val="005419E7"/>
    <w:rsid w:val="00541CA7"/>
    <w:rsid w:val="00541E0E"/>
    <w:rsid w:val="00541E40"/>
    <w:rsid w:val="00541FEC"/>
    <w:rsid w:val="00542072"/>
    <w:rsid w:val="005421E2"/>
    <w:rsid w:val="00542544"/>
    <w:rsid w:val="005429D2"/>
    <w:rsid w:val="00543A2E"/>
    <w:rsid w:val="0054434F"/>
    <w:rsid w:val="00544354"/>
    <w:rsid w:val="00544A52"/>
    <w:rsid w:val="00544A71"/>
    <w:rsid w:val="00544F6C"/>
    <w:rsid w:val="0054504F"/>
    <w:rsid w:val="00545172"/>
    <w:rsid w:val="00545191"/>
    <w:rsid w:val="00545C70"/>
    <w:rsid w:val="00546404"/>
    <w:rsid w:val="00546FC5"/>
    <w:rsid w:val="005475F3"/>
    <w:rsid w:val="005477E6"/>
    <w:rsid w:val="0054786A"/>
    <w:rsid w:val="00547C47"/>
    <w:rsid w:val="00547E3F"/>
    <w:rsid w:val="005508C2"/>
    <w:rsid w:val="00550BF7"/>
    <w:rsid w:val="00550CA5"/>
    <w:rsid w:val="00550FD7"/>
    <w:rsid w:val="005515C2"/>
    <w:rsid w:val="00551C99"/>
    <w:rsid w:val="00551DC4"/>
    <w:rsid w:val="00551F42"/>
    <w:rsid w:val="005523E8"/>
    <w:rsid w:val="005525B7"/>
    <w:rsid w:val="005526FF"/>
    <w:rsid w:val="00553F3C"/>
    <w:rsid w:val="0055483F"/>
    <w:rsid w:val="005548FE"/>
    <w:rsid w:val="00554EAE"/>
    <w:rsid w:val="00555AC8"/>
    <w:rsid w:val="00555E01"/>
    <w:rsid w:val="00555FE4"/>
    <w:rsid w:val="0055636F"/>
    <w:rsid w:val="0055696C"/>
    <w:rsid w:val="00556D9E"/>
    <w:rsid w:val="005573E9"/>
    <w:rsid w:val="005575AA"/>
    <w:rsid w:val="005575C2"/>
    <w:rsid w:val="00557789"/>
    <w:rsid w:val="00557B01"/>
    <w:rsid w:val="00557C7C"/>
    <w:rsid w:val="00557FEC"/>
    <w:rsid w:val="00560459"/>
    <w:rsid w:val="005606E9"/>
    <w:rsid w:val="005607AF"/>
    <w:rsid w:val="00560DAB"/>
    <w:rsid w:val="00560E3F"/>
    <w:rsid w:val="00560EB6"/>
    <w:rsid w:val="00561876"/>
    <w:rsid w:val="00562054"/>
    <w:rsid w:val="005621CD"/>
    <w:rsid w:val="005623AD"/>
    <w:rsid w:val="00562458"/>
    <w:rsid w:val="00562696"/>
    <w:rsid w:val="005628F9"/>
    <w:rsid w:val="00562A33"/>
    <w:rsid w:val="00562E43"/>
    <w:rsid w:val="00562F19"/>
    <w:rsid w:val="005636C7"/>
    <w:rsid w:val="00563F59"/>
    <w:rsid w:val="00563FA2"/>
    <w:rsid w:val="005642DA"/>
    <w:rsid w:val="005643A3"/>
    <w:rsid w:val="00564417"/>
    <w:rsid w:val="00564FB6"/>
    <w:rsid w:val="00565234"/>
    <w:rsid w:val="00565485"/>
    <w:rsid w:val="005657D2"/>
    <w:rsid w:val="0056615C"/>
    <w:rsid w:val="00566671"/>
    <w:rsid w:val="005667A2"/>
    <w:rsid w:val="00566DE3"/>
    <w:rsid w:val="00567C6D"/>
    <w:rsid w:val="00567F25"/>
    <w:rsid w:val="00570088"/>
    <w:rsid w:val="005706F1"/>
    <w:rsid w:val="00570CA3"/>
    <w:rsid w:val="005713BB"/>
    <w:rsid w:val="005715EF"/>
    <w:rsid w:val="005719C5"/>
    <w:rsid w:val="00571CB5"/>
    <w:rsid w:val="00571ED4"/>
    <w:rsid w:val="00572058"/>
    <w:rsid w:val="005721E3"/>
    <w:rsid w:val="005723AB"/>
    <w:rsid w:val="00572DA4"/>
    <w:rsid w:val="005731E0"/>
    <w:rsid w:val="00574727"/>
    <w:rsid w:val="0057624A"/>
    <w:rsid w:val="005766E4"/>
    <w:rsid w:val="00576ED8"/>
    <w:rsid w:val="00577E01"/>
    <w:rsid w:val="00577F3B"/>
    <w:rsid w:val="00580915"/>
    <w:rsid w:val="005814DC"/>
    <w:rsid w:val="005815FC"/>
    <w:rsid w:val="00581A74"/>
    <w:rsid w:val="00582585"/>
    <w:rsid w:val="00582FBE"/>
    <w:rsid w:val="005836A7"/>
    <w:rsid w:val="00583C08"/>
    <w:rsid w:val="00584328"/>
    <w:rsid w:val="00584414"/>
    <w:rsid w:val="005848B3"/>
    <w:rsid w:val="005848F9"/>
    <w:rsid w:val="00584E84"/>
    <w:rsid w:val="00584EE7"/>
    <w:rsid w:val="005855AD"/>
    <w:rsid w:val="005856C0"/>
    <w:rsid w:val="005856E9"/>
    <w:rsid w:val="00585F3C"/>
    <w:rsid w:val="00585F8C"/>
    <w:rsid w:val="00586372"/>
    <w:rsid w:val="005867B4"/>
    <w:rsid w:val="00586B37"/>
    <w:rsid w:val="00586BD6"/>
    <w:rsid w:val="005871F9"/>
    <w:rsid w:val="005875E7"/>
    <w:rsid w:val="005878F2"/>
    <w:rsid w:val="00590889"/>
    <w:rsid w:val="00591634"/>
    <w:rsid w:val="00591B98"/>
    <w:rsid w:val="00591D48"/>
    <w:rsid w:val="005925D6"/>
    <w:rsid w:val="00592D02"/>
    <w:rsid w:val="00592D83"/>
    <w:rsid w:val="00593009"/>
    <w:rsid w:val="005932C1"/>
    <w:rsid w:val="005936B3"/>
    <w:rsid w:val="00593868"/>
    <w:rsid w:val="00593980"/>
    <w:rsid w:val="00594144"/>
    <w:rsid w:val="005945FD"/>
    <w:rsid w:val="00594AF4"/>
    <w:rsid w:val="0059508B"/>
    <w:rsid w:val="005954BB"/>
    <w:rsid w:val="00595967"/>
    <w:rsid w:val="00595B39"/>
    <w:rsid w:val="00595E1A"/>
    <w:rsid w:val="005965E8"/>
    <w:rsid w:val="00596AD6"/>
    <w:rsid w:val="00597595"/>
    <w:rsid w:val="00597732"/>
    <w:rsid w:val="00597B83"/>
    <w:rsid w:val="00597FBF"/>
    <w:rsid w:val="00597FD6"/>
    <w:rsid w:val="005A047C"/>
    <w:rsid w:val="005A0C33"/>
    <w:rsid w:val="005A1415"/>
    <w:rsid w:val="005A192F"/>
    <w:rsid w:val="005A1AC9"/>
    <w:rsid w:val="005A1EFB"/>
    <w:rsid w:val="005A20CF"/>
    <w:rsid w:val="005A2396"/>
    <w:rsid w:val="005A2CBF"/>
    <w:rsid w:val="005A3317"/>
    <w:rsid w:val="005A3756"/>
    <w:rsid w:val="005A3B38"/>
    <w:rsid w:val="005A3FD4"/>
    <w:rsid w:val="005A4508"/>
    <w:rsid w:val="005A47AF"/>
    <w:rsid w:val="005A497B"/>
    <w:rsid w:val="005A4C76"/>
    <w:rsid w:val="005A67C5"/>
    <w:rsid w:val="005A6AC1"/>
    <w:rsid w:val="005A6FC5"/>
    <w:rsid w:val="005A70D1"/>
    <w:rsid w:val="005A7396"/>
    <w:rsid w:val="005A77ED"/>
    <w:rsid w:val="005A7825"/>
    <w:rsid w:val="005A78DE"/>
    <w:rsid w:val="005A7D2D"/>
    <w:rsid w:val="005B0513"/>
    <w:rsid w:val="005B0E2A"/>
    <w:rsid w:val="005B118E"/>
    <w:rsid w:val="005B12C4"/>
    <w:rsid w:val="005B13F2"/>
    <w:rsid w:val="005B176A"/>
    <w:rsid w:val="005B2AED"/>
    <w:rsid w:val="005B2AF8"/>
    <w:rsid w:val="005B312F"/>
    <w:rsid w:val="005B3F1E"/>
    <w:rsid w:val="005B41D4"/>
    <w:rsid w:val="005B44E8"/>
    <w:rsid w:val="005B44E9"/>
    <w:rsid w:val="005B4625"/>
    <w:rsid w:val="005B4D22"/>
    <w:rsid w:val="005B4E5D"/>
    <w:rsid w:val="005B4EBB"/>
    <w:rsid w:val="005B517B"/>
    <w:rsid w:val="005B5C4A"/>
    <w:rsid w:val="005B5E7F"/>
    <w:rsid w:val="005B65B8"/>
    <w:rsid w:val="005B69C4"/>
    <w:rsid w:val="005B6B6F"/>
    <w:rsid w:val="005C0EA1"/>
    <w:rsid w:val="005C10D1"/>
    <w:rsid w:val="005C13A8"/>
    <w:rsid w:val="005C1848"/>
    <w:rsid w:val="005C1E15"/>
    <w:rsid w:val="005C21D6"/>
    <w:rsid w:val="005C2828"/>
    <w:rsid w:val="005C2A7B"/>
    <w:rsid w:val="005C2DF9"/>
    <w:rsid w:val="005C2E95"/>
    <w:rsid w:val="005C3062"/>
    <w:rsid w:val="005C3267"/>
    <w:rsid w:val="005C36F7"/>
    <w:rsid w:val="005C379F"/>
    <w:rsid w:val="005C40CC"/>
    <w:rsid w:val="005C4402"/>
    <w:rsid w:val="005C4706"/>
    <w:rsid w:val="005C4B1D"/>
    <w:rsid w:val="005C4C85"/>
    <w:rsid w:val="005C4EE4"/>
    <w:rsid w:val="005C5801"/>
    <w:rsid w:val="005C5C6A"/>
    <w:rsid w:val="005C5FB5"/>
    <w:rsid w:val="005C65A0"/>
    <w:rsid w:val="005C6803"/>
    <w:rsid w:val="005C69A9"/>
    <w:rsid w:val="005C6CFB"/>
    <w:rsid w:val="005C789A"/>
    <w:rsid w:val="005C7B06"/>
    <w:rsid w:val="005D073F"/>
    <w:rsid w:val="005D0BF0"/>
    <w:rsid w:val="005D0F2B"/>
    <w:rsid w:val="005D1940"/>
    <w:rsid w:val="005D1988"/>
    <w:rsid w:val="005D1C5F"/>
    <w:rsid w:val="005D2164"/>
    <w:rsid w:val="005D370D"/>
    <w:rsid w:val="005D471B"/>
    <w:rsid w:val="005D4E77"/>
    <w:rsid w:val="005D4EFD"/>
    <w:rsid w:val="005D4FFB"/>
    <w:rsid w:val="005D5B71"/>
    <w:rsid w:val="005D6122"/>
    <w:rsid w:val="005D6412"/>
    <w:rsid w:val="005D66A4"/>
    <w:rsid w:val="005D6740"/>
    <w:rsid w:val="005D6CCE"/>
    <w:rsid w:val="005D73A5"/>
    <w:rsid w:val="005D73FE"/>
    <w:rsid w:val="005D7649"/>
    <w:rsid w:val="005D77D7"/>
    <w:rsid w:val="005D79FB"/>
    <w:rsid w:val="005E02D9"/>
    <w:rsid w:val="005E129C"/>
    <w:rsid w:val="005E1414"/>
    <w:rsid w:val="005E1661"/>
    <w:rsid w:val="005E1D7A"/>
    <w:rsid w:val="005E1DC4"/>
    <w:rsid w:val="005E2008"/>
    <w:rsid w:val="005E20DC"/>
    <w:rsid w:val="005E23AF"/>
    <w:rsid w:val="005E3032"/>
    <w:rsid w:val="005E3AFC"/>
    <w:rsid w:val="005E3CA4"/>
    <w:rsid w:val="005E3E24"/>
    <w:rsid w:val="005E4B3C"/>
    <w:rsid w:val="005E4D3C"/>
    <w:rsid w:val="005E4D5C"/>
    <w:rsid w:val="005E5187"/>
    <w:rsid w:val="005E5200"/>
    <w:rsid w:val="005E5638"/>
    <w:rsid w:val="005E5832"/>
    <w:rsid w:val="005E5CE8"/>
    <w:rsid w:val="005E655D"/>
    <w:rsid w:val="005E66AB"/>
    <w:rsid w:val="005E6A06"/>
    <w:rsid w:val="005E6A70"/>
    <w:rsid w:val="005E6C8A"/>
    <w:rsid w:val="005E766E"/>
    <w:rsid w:val="005E78D5"/>
    <w:rsid w:val="005E7B87"/>
    <w:rsid w:val="005E7CE0"/>
    <w:rsid w:val="005F0626"/>
    <w:rsid w:val="005F1A7E"/>
    <w:rsid w:val="005F2311"/>
    <w:rsid w:val="005F2671"/>
    <w:rsid w:val="005F2C4E"/>
    <w:rsid w:val="005F2F0B"/>
    <w:rsid w:val="005F40F7"/>
    <w:rsid w:val="005F46A6"/>
    <w:rsid w:val="005F49A9"/>
    <w:rsid w:val="005F4CE3"/>
    <w:rsid w:val="005F4EB1"/>
    <w:rsid w:val="005F550A"/>
    <w:rsid w:val="005F5708"/>
    <w:rsid w:val="005F59D7"/>
    <w:rsid w:val="005F6350"/>
    <w:rsid w:val="005F63D7"/>
    <w:rsid w:val="005F66AD"/>
    <w:rsid w:val="005F6BDC"/>
    <w:rsid w:val="005F6C33"/>
    <w:rsid w:val="005F6CE8"/>
    <w:rsid w:val="005F7036"/>
    <w:rsid w:val="005F769F"/>
    <w:rsid w:val="00600536"/>
    <w:rsid w:val="006006AA"/>
    <w:rsid w:val="0060091B"/>
    <w:rsid w:val="0060095B"/>
    <w:rsid w:val="00600C14"/>
    <w:rsid w:val="00600D79"/>
    <w:rsid w:val="0060168B"/>
    <w:rsid w:val="00601C8B"/>
    <w:rsid w:val="00601DEA"/>
    <w:rsid w:val="00601E6D"/>
    <w:rsid w:val="00602225"/>
    <w:rsid w:val="006022D2"/>
    <w:rsid w:val="00602836"/>
    <w:rsid w:val="00602B12"/>
    <w:rsid w:val="00603678"/>
    <w:rsid w:val="00603A74"/>
    <w:rsid w:val="00603B30"/>
    <w:rsid w:val="006040E6"/>
    <w:rsid w:val="00604A73"/>
    <w:rsid w:val="00604F3B"/>
    <w:rsid w:val="0060538B"/>
    <w:rsid w:val="00605CC2"/>
    <w:rsid w:val="00606020"/>
    <w:rsid w:val="006068D0"/>
    <w:rsid w:val="00606B88"/>
    <w:rsid w:val="00606BD9"/>
    <w:rsid w:val="0060708C"/>
    <w:rsid w:val="00607318"/>
    <w:rsid w:val="006102E6"/>
    <w:rsid w:val="006104F7"/>
    <w:rsid w:val="006106C0"/>
    <w:rsid w:val="0061187C"/>
    <w:rsid w:val="006118DC"/>
    <w:rsid w:val="00611AF6"/>
    <w:rsid w:val="00612431"/>
    <w:rsid w:val="00612596"/>
    <w:rsid w:val="0061272F"/>
    <w:rsid w:val="0061280B"/>
    <w:rsid w:val="006129B8"/>
    <w:rsid w:val="00612B33"/>
    <w:rsid w:val="00612DCA"/>
    <w:rsid w:val="00613B8D"/>
    <w:rsid w:val="00614B7B"/>
    <w:rsid w:val="00614C16"/>
    <w:rsid w:val="00614ECD"/>
    <w:rsid w:val="006154EA"/>
    <w:rsid w:val="00615F5F"/>
    <w:rsid w:val="0061626E"/>
    <w:rsid w:val="0061631A"/>
    <w:rsid w:val="0061660D"/>
    <w:rsid w:val="00616704"/>
    <w:rsid w:val="00616B58"/>
    <w:rsid w:val="00616B66"/>
    <w:rsid w:val="00616CAE"/>
    <w:rsid w:val="00617823"/>
    <w:rsid w:val="00617CCC"/>
    <w:rsid w:val="00617D3C"/>
    <w:rsid w:val="006203E4"/>
    <w:rsid w:val="006217BA"/>
    <w:rsid w:val="00621DA3"/>
    <w:rsid w:val="00622307"/>
    <w:rsid w:val="0062285A"/>
    <w:rsid w:val="00622B0A"/>
    <w:rsid w:val="00622D3D"/>
    <w:rsid w:val="00622EB3"/>
    <w:rsid w:val="006239C3"/>
    <w:rsid w:val="00623C91"/>
    <w:rsid w:val="00623F66"/>
    <w:rsid w:val="00623F97"/>
    <w:rsid w:val="0062424A"/>
    <w:rsid w:val="006245E7"/>
    <w:rsid w:val="00624606"/>
    <w:rsid w:val="006249C6"/>
    <w:rsid w:val="006249DB"/>
    <w:rsid w:val="00624ABE"/>
    <w:rsid w:val="00624FDD"/>
    <w:rsid w:val="00625081"/>
    <w:rsid w:val="006250B8"/>
    <w:rsid w:val="006252FE"/>
    <w:rsid w:val="006256A6"/>
    <w:rsid w:val="00625935"/>
    <w:rsid w:val="006259E0"/>
    <w:rsid w:val="00625AA9"/>
    <w:rsid w:val="00625F08"/>
    <w:rsid w:val="006262A1"/>
    <w:rsid w:val="006274DB"/>
    <w:rsid w:val="00630958"/>
    <w:rsid w:val="00630F4F"/>
    <w:rsid w:val="0063125A"/>
    <w:rsid w:val="00631360"/>
    <w:rsid w:val="006315EB"/>
    <w:rsid w:val="006318A1"/>
    <w:rsid w:val="0063246F"/>
    <w:rsid w:val="0063278B"/>
    <w:rsid w:val="00632A2E"/>
    <w:rsid w:val="006331E7"/>
    <w:rsid w:val="00633402"/>
    <w:rsid w:val="0063382C"/>
    <w:rsid w:val="006339C3"/>
    <w:rsid w:val="00633DE9"/>
    <w:rsid w:val="006341ED"/>
    <w:rsid w:val="0063433E"/>
    <w:rsid w:val="00635137"/>
    <w:rsid w:val="006354D9"/>
    <w:rsid w:val="006358E1"/>
    <w:rsid w:val="00635CD7"/>
    <w:rsid w:val="006362F4"/>
    <w:rsid w:val="006364D5"/>
    <w:rsid w:val="00636966"/>
    <w:rsid w:val="00636995"/>
    <w:rsid w:val="00637021"/>
    <w:rsid w:val="0063702B"/>
    <w:rsid w:val="0063774D"/>
    <w:rsid w:val="00637EE3"/>
    <w:rsid w:val="0064031D"/>
    <w:rsid w:val="006404CF"/>
    <w:rsid w:val="0064080A"/>
    <w:rsid w:val="00640B5B"/>
    <w:rsid w:val="00640D80"/>
    <w:rsid w:val="00640F66"/>
    <w:rsid w:val="00641227"/>
    <w:rsid w:val="006412E3"/>
    <w:rsid w:val="00641561"/>
    <w:rsid w:val="006419C5"/>
    <w:rsid w:val="00641AA1"/>
    <w:rsid w:val="00641E1C"/>
    <w:rsid w:val="0064228D"/>
    <w:rsid w:val="0064261B"/>
    <w:rsid w:val="00642855"/>
    <w:rsid w:val="00642B4B"/>
    <w:rsid w:val="00642D24"/>
    <w:rsid w:val="00642F1C"/>
    <w:rsid w:val="006432CF"/>
    <w:rsid w:val="006435FC"/>
    <w:rsid w:val="00643D29"/>
    <w:rsid w:val="00643E62"/>
    <w:rsid w:val="00644431"/>
    <w:rsid w:val="0064446D"/>
    <w:rsid w:val="00644A32"/>
    <w:rsid w:val="00645032"/>
    <w:rsid w:val="00645111"/>
    <w:rsid w:val="006454AA"/>
    <w:rsid w:val="00646239"/>
    <w:rsid w:val="0064635D"/>
    <w:rsid w:val="00646456"/>
    <w:rsid w:val="006464AA"/>
    <w:rsid w:val="00646F51"/>
    <w:rsid w:val="006500A7"/>
    <w:rsid w:val="006500E5"/>
    <w:rsid w:val="006507E9"/>
    <w:rsid w:val="00650A8C"/>
    <w:rsid w:val="00650C43"/>
    <w:rsid w:val="006510B5"/>
    <w:rsid w:val="00651818"/>
    <w:rsid w:val="0065192B"/>
    <w:rsid w:val="00651F24"/>
    <w:rsid w:val="006520AC"/>
    <w:rsid w:val="0065287F"/>
    <w:rsid w:val="00652C7E"/>
    <w:rsid w:val="00652CA1"/>
    <w:rsid w:val="00653346"/>
    <w:rsid w:val="006534BB"/>
    <w:rsid w:val="0065352C"/>
    <w:rsid w:val="00653E86"/>
    <w:rsid w:val="0065428E"/>
    <w:rsid w:val="006542E4"/>
    <w:rsid w:val="00654AEC"/>
    <w:rsid w:val="00655093"/>
    <w:rsid w:val="0065517F"/>
    <w:rsid w:val="00655208"/>
    <w:rsid w:val="0065526F"/>
    <w:rsid w:val="0065578E"/>
    <w:rsid w:val="00656343"/>
    <w:rsid w:val="00656B78"/>
    <w:rsid w:val="00657578"/>
    <w:rsid w:val="0065799C"/>
    <w:rsid w:val="00657F53"/>
    <w:rsid w:val="006600D1"/>
    <w:rsid w:val="006601B4"/>
    <w:rsid w:val="00660BA2"/>
    <w:rsid w:val="00661597"/>
    <w:rsid w:val="006619B2"/>
    <w:rsid w:val="00661EE0"/>
    <w:rsid w:val="00662045"/>
    <w:rsid w:val="00662179"/>
    <w:rsid w:val="006629C9"/>
    <w:rsid w:val="00662CA6"/>
    <w:rsid w:val="00663043"/>
    <w:rsid w:val="00663135"/>
    <w:rsid w:val="00663857"/>
    <w:rsid w:val="00663989"/>
    <w:rsid w:val="0066477D"/>
    <w:rsid w:val="00665105"/>
    <w:rsid w:val="00665404"/>
    <w:rsid w:val="006654BB"/>
    <w:rsid w:val="00665AE3"/>
    <w:rsid w:val="00665BC1"/>
    <w:rsid w:val="00666014"/>
    <w:rsid w:val="0066634C"/>
    <w:rsid w:val="006666FE"/>
    <w:rsid w:val="00666799"/>
    <w:rsid w:val="00666A5D"/>
    <w:rsid w:val="00666DCB"/>
    <w:rsid w:val="006670B8"/>
    <w:rsid w:val="006671D5"/>
    <w:rsid w:val="006677D3"/>
    <w:rsid w:val="006677E6"/>
    <w:rsid w:val="00667B72"/>
    <w:rsid w:val="00667E5D"/>
    <w:rsid w:val="00667E6E"/>
    <w:rsid w:val="00667F04"/>
    <w:rsid w:val="00667F80"/>
    <w:rsid w:val="0067006F"/>
    <w:rsid w:val="006702DF"/>
    <w:rsid w:val="00670585"/>
    <w:rsid w:val="00670CEC"/>
    <w:rsid w:val="00671199"/>
    <w:rsid w:val="00671668"/>
    <w:rsid w:val="00671C7A"/>
    <w:rsid w:val="00671DDE"/>
    <w:rsid w:val="00672851"/>
    <w:rsid w:val="00672869"/>
    <w:rsid w:val="00672C4B"/>
    <w:rsid w:val="00672C52"/>
    <w:rsid w:val="00672E08"/>
    <w:rsid w:val="006731AC"/>
    <w:rsid w:val="006733C3"/>
    <w:rsid w:val="006735BC"/>
    <w:rsid w:val="00673A66"/>
    <w:rsid w:val="00673C57"/>
    <w:rsid w:val="00674313"/>
    <w:rsid w:val="00674A2A"/>
    <w:rsid w:val="00675151"/>
    <w:rsid w:val="006761DC"/>
    <w:rsid w:val="00676566"/>
    <w:rsid w:val="0067679F"/>
    <w:rsid w:val="00676934"/>
    <w:rsid w:val="00676C8B"/>
    <w:rsid w:val="00677073"/>
    <w:rsid w:val="00677762"/>
    <w:rsid w:val="00677EE5"/>
    <w:rsid w:val="006806CD"/>
    <w:rsid w:val="006809D8"/>
    <w:rsid w:val="00680A7B"/>
    <w:rsid w:val="00680A88"/>
    <w:rsid w:val="00680AE3"/>
    <w:rsid w:val="00680C64"/>
    <w:rsid w:val="00681010"/>
    <w:rsid w:val="00681461"/>
    <w:rsid w:val="00681600"/>
    <w:rsid w:val="006819D5"/>
    <w:rsid w:val="00681A97"/>
    <w:rsid w:val="00682AD5"/>
    <w:rsid w:val="00682B0B"/>
    <w:rsid w:val="006830D7"/>
    <w:rsid w:val="00683599"/>
    <w:rsid w:val="0068390E"/>
    <w:rsid w:val="00683921"/>
    <w:rsid w:val="006843B0"/>
    <w:rsid w:val="00684439"/>
    <w:rsid w:val="006849B3"/>
    <w:rsid w:val="00684C9F"/>
    <w:rsid w:val="00684DEF"/>
    <w:rsid w:val="00685235"/>
    <w:rsid w:val="0068583C"/>
    <w:rsid w:val="00686256"/>
    <w:rsid w:val="00686A84"/>
    <w:rsid w:val="0068750B"/>
    <w:rsid w:val="0068765F"/>
    <w:rsid w:val="00687CD7"/>
    <w:rsid w:val="00687F59"/>
    <w:rsid w:val="00690C5E"/>
    <w:rsid w:val="00690EDA"/>
    <w:rsid w:val="006911AB"/>
    <w:rsid w:val="006913F0"/>
    <w:rsid w:val="0069175F"/>
    <w:rsid w:val="006919D4"/>
    <w:rsid w:val="00692203"/>
    <w:rsid w:val="00692BFA"/>
    <w:rsid w:val="00692FA5"/>
    <w:rsid w:val="00693750"/>
    <w:rsid w:val="00693EA7"/>
    <w:rsid w:val="0069452C"/>
    <w:rsid w:val="00694581"/>
    <w:rsid w:val="006948F4"/>
    <w:rsid w:val="00694B26"/>
    <w:rsid w:val="00695218"/>
    <w:rsid w:val="00695706"/>
    <w:rsid w:val="00695BEB"/>
    <w:rsid w:val="00695D4A"/>
    <w:rsid w:val="0069608E"/>
    <w:rsid w:val="00696736"/>
    <w:rsid w:val="0069695A"/>
    <w:rsid w:val="00696996"/>
    <w:rsid w:val="006976CD"/>
    <w:rsid w:val="006A00D7"/>
    <w:rsid w:val="006A07A2"/>
    <w:rsid w:val="006A0A4B"/>
    <w:rsid w:val="006A1688"/>
    <w:rsid w:val="006A17F0"/>
    <w:rsid w:val="006A181E"/>
    <w:rsid w:val="006A20B4"/>
    <w:rsid w:val="006A226D"/>
    <w:rsid w:val="006A22D7"/>
    <w:rsid w:val="006A238B"/>
    <w:rsid w:val="006A2F21"/>
    <w:rsid w:val="006A2F5B"/>
    <w:rsid w:val="006A3770"/>
    <w:rsid w:val="006A44AF"/>
    <w:rsid w:val="006A4517"/>
    <w:rsid w:val="006A4D89"/>
    <w:rsid w:val="006A4E12"/>
    <w:rsid w:val="006A4FCD"/>
    <w:rsid w:val="006A5181"/>
    <w:rsid w:val="006A56F8"/>
    <w:rsid w:val="006A5D45"/>
    <w:rsid w:val="006A5DF4"/>
    <w:rsid w:val="006A63B8"/>
    <w:rsid w:val="006A69EE"/>
    <w:rsid w:val="006A746B"/>
    <w:rsid w:val="006A7D86"/>
    <w:rsid w:val="006A7DEC"/>
    <w:rsid w:val="006B0388"/>
    <w:rsid w:val="006B098A"/>
    <w:rsid w:val="006B0B9E"/>
    <w:rsid w:val="006B176B"/>
    <w:rsid w:val="006B1F99"/>
    <w:rsid w:val="006B2B1E"/>
    <w:rsid w:val="006B2F0B"/>
    <w:rsid w:val="006B2FC4"/>
    <w:rsid w:val="006B3398"/>
    <w:rsid w:val="006B37EC"/>
    <w:rsid w:val="006B4033"/>
    <w:rsid w:val="006B4117"/>
    <w:rsid w:val="006B44BE"/>
    <w:rsid w:val="006B44E7"/>
    <w:rsid w:val="006B4BBF"/>
    <w:rsid w:val="006B4CF2"/>
    <w:rsid w:val="006B502B"/>
    <w:rsid w:val="006B54CA"/>
    <w:rsid w:val="006B5759"/>
    <w:rsid w:val="006B5B23"/>
    <w:rsid w:val="006B6075"/>
    <w:rsid w:val="006B69C4"/>
    <w:rsid w:val="006B7414"/>
    <w:rsid w:val="006C008F"/>
    <w:rsid w:val="006C01C9"/>
    <w:rsid w:val="006C0D02"/>
    <w:rsid w:val="006C1D0E"/>
    <w:rsid w:val="006C2061"/>
    <w:rsid w:val="006C2378"/>
    <w:rsid w:val="006C23A4"/>
    <w:rsid w:val="006C257C"/>
    <w:rsid w:val="006C2BF0"/>
    <w:rsid w:val="006C2EBF"/>
    <w:rsid w:val="006C2EF7"/>
    <w:rsid w:val="006C3251"/>
    <w:rsid w:val="006C4710"/>
    <w:rsid w:val="006C539F"/>
    <w:rsid w:val="006C609B"/>
    <w:rsid w:val="006C63E9"/>
    <w:rsid w:val="006C6674"/>
    <w:rsid w:val="006C6EF5"/>
    <w:rsid w:val="006C753F"/>
    <w:rsid w:val="006C7D15"/>
    <w:rsid w:val="006C7F3A"/>
    <w:rsid w:val="006D0215"/>
    <w:rsid w:val="006D021A"/>
    <w:rsid w:val="006D0839"/>
    <w:rsid w:val="006D09E5"/>
    <w:rsid w:val="006D0B1A"/>
    <w:rsid w:val="006D0B8C"/>
    <w:rsid w:val="006D0FDE"/>
    <w:rsid w:val="006D148C"/>
    <w:rsid w:val="006D166E"/>
    <w:rsid w:val="006D16FF"/>
    <w:rsid w:val="006D172D"/>
    <w:rsid w:val="006D17B7"/>
    <w:rsid w:val="006D1928"/>
    <w:rsid w:val="006D1D94"/>
    <w:rsid w:val="006D266F"/>
    <w:rsid w:val="006D2BB9"/>
    <w:rsid w:val="006D3151"/>
    <w:rsid w:val="006D3518"/>
    <w:rsid w:val="006D3921"/>
    <w:rsid w:val="006D397A"/>
    <w:rsid w:val="006D4B48"/>
    <w:rsid w:val="006D4D60"/>
    <w:rsid w:val="006D5C7F"/>
    <w:rsid w:val="006D6076"/>
    <w:rsid w:val="006D64B5"/>
    <w:rsid w:val="006D67AA"/>
    <w:rsid w:val="006D743F"/>
    <w:rsid w:val="006D76C0"/>
    <w:rsid w:val="006D7758"/>
    <w:rsid w:val="006D7CA0"/>
    <w:rsid w:val="006E0598"/>
    <w:rsid w:val="006E0622"/>
    <w:rsid w:val="006E0D0C"/>
    <w:rsid w:val="006E12A7"/>
    <w:rsid w:val="006E175C"/>
    <w:rsid w:val="006E185A"/>
    <w:rsid w:val="006E1C96"/>
    <w:rsid w:val="006E1DEC"/>
    <w:rsid w:val="006E1E73"/>
    <w:rsid w:val="006E2EEE"/>
    <w:rsid w:val="006E3172"/>
    <w:rsid w:val="006E3245"/>
    <w:rsid w:val="006E36A5"/>
    <w:rsid w:val="006E3962"/>
    <w:rsid w:val="006E3B49"/>
    <w:rsid w:val="006E3F71"/>
    <w:rsid w:val="006E42DF"/>
    <w:rsid w:val="006E44F0"/>
    <w:rsid w:val="006E4D12"/>
    <w:rsid w:val="006E4D9C"/>
    <w:rsid w:val="006E62BC"/>
    <w:rsid w:val="006E6534"/>
    <w:rsid w:val="006E6C3A"/>
    <w:rsid w:val="006E7079"/>
    <w:rsid w:val="006E7152"/>
    <w:rsid w:val="006E749C"/>
    <w:rsid w:val="006E7CA2"/>
    <w:rsid w:val="006E7D3A"/>
    <w:rsid w:val="006E7E37"/>
    <w:rsid w:val="006F00BE"/>
    <w:rsid w:val="006F08A6"/>
    <w:rsid w:val="006F0970"/>
    <w:rsid w:val="006F0EED"/>
    <w:rsid w:val="006F100B"/>
    <w:rsid w:val="006F1084"/>
    <w:rsid w:val="006F1832"/>
    <w:rsid w:val="006F1EDE"/>
    <w:rsid w:val="006F1F09"/>
    <w:rsid w:val="006F2247"/>
    <w:rsid w:val="006F258C"/>
    <w:rsid w:val="006F260B"/>
    <w:rsid w:val="006F274F"/>
    <w:rsid w:val="006F27BB"/>
    <w:rsid w:val="006F2B3D"/>
    <w:rsid w:val="006F2BBA"/>
    <w:rsid w:val="006F2BF3"/>
    <w:rsid w:val="006F2F26"/>
    <w:rsid w:val="006F2F65"/>
    <w:rsid w:val="006F2F79"/>
    <w:rsid w:val="006F307D"/>
    <w:rsid w:val="006F3F6E"/>
    <w:rsid w:val="006F4A3A"/>
    <w:rsid w:val="006F4ADD"/>
    <w:rsid w:val="006F50B5"/>
    <w:rsid w:val="006F5BEF"/>
    <w:rsid w:val="006F6039"/>
    <w:rsid w:val="006F6286"/>
    <w:rsid w:val="006F6404"/>
    <w:rsid w:val="006F65AD"/>
    <w:rsid w:val="006F68AA"/>
    <w:rsid w:val="006F705B"/>
    <w:rsid w:val="006F7704"/>
    <w:rsid w:val="006F7946"/>
    <w:rsid w:val="006F7984"/>
    <w:rsid w:val="006F7A5F"/>
    <w:rsid w:val="006F7ADB"/>
    <w:rsid w:val="007001D2"/>
    <w:rsid w:val="00700431"/>
    <w:rsid w:val="00700704"/>
    <w:rsid w:val="00700B1C"/>
    <w:rsid w:val="00700B34"/>
    <w:rsid w:val="007010E4"/>
    <w:rsid w:val="007010EA"/>
    <w:rsid w:val="00701A2C"/>
    <w:rsid w:val="00701F5C"/>
    <w:rsid w:val="00702320"/>
    <w:rsid w:val="007035F5"/>
    <w:rsid w:val="00703BE3"/>
    <w:rsid w:val="00704012"/>
    <w:rsid w:val="007047CB"/>
    <w:rsid w:val="00704A84"/>
    <w:rsid w:val="00704C0D"/>
    <w:rsid w:val="00705572"/>
    <w:rsid w:val="00705B34"/>
    <w:rsid w:val="00705CF4"/>
    <w:rsid w:val="0070605A"/>
    <w:rsid w:val="00706BFC"/>
    <w:rsid w:val="00707839"/>
    <w:rsid w:val="00707AA6"/>
    <w:rsid w:val="00710447"/>
    <w:rsid w:val="007108C7"/>
    <w:rsid w:val="00711AD0"/>
    <w:rsid w:val="00711D70"/>
    <w:rsid w:val="00711FE1"/>
    <w:rsid w:val="007121EC"/>
    <w:rsid w:val="007125BA"/>
    <w:rsid w:val="00713352"/>
    <w:rsid w:val="007146C9"/>
    <w:rsid w:val="007147AA"/>
    <w:rsid w:val="0071484F"/>
    <w:rsid w:val="00715461"/>
    <w:rsid w:val="007156D9"/>
    <w:rsid w:val="0071596E"/>
    <w:rsid w:val="007159C1"/>
    <w:rsid w:val="00715BD4"/>
    <w:rsid w:val="00715EBB"/>
    <w:rsid w:val="00716717"/>
    <w:rsid w:val="00716787"/>
    <w:rsid w:val="00716804"/>
    <w:rsid w:val="0071699F"/>
    <w:rsid w:val="00716E1F"/>
    <w:rsid w:val="00717ABD"/>
    <w:rsid w:val="00720139"/>
    <w:rsid w:val="00720311"/>
    <w:rsid w:val="00720832"/>
    <w:rsid w:val="00720DE1"/>
    <w:rsid w:val="007212B0"/>
    <w:rsid w:val="00721506"/>
    <w:rsid w:val="007217E0"/>
    <w:rsid w:val="00721D8E"/>
    <w:rsid w:val="007221A4"/>
    <w:rsid w:val="00722913"/>
    <w:rsid w:val="00724467"/>
    <w:rsid w:val="0072479D"/>
    <w:rsid w:val="00724855"/>
    <w:rsid w:val="00724C19"/>
    <w:rsid w:val="00724E1C"/>
    <w:rsid w:val="007252E7"/>
    <w:rsid w:val="00725513"/>
    <w:rsid w:val="00725A65"/>
    <w:rsid w:val="00725BF6"/>
    <w:rsid w:val="00726039"/>
    <w:rsid w:val="00726468"/>
    <w:rsid w:val="007264A8"/>
    <w:rsid w:val="00726704"/>
    <w:rsid w:val="00726BF3"/>
    <w:rsid w:val="00726E05"/>
    <w:rsid w:val="00726F85"/>
    <w:rsid w:val="00727338"/>
    <w:rsid w:val="007273AF"/>
    <w:rsid w:val="00727C5B"/>
    <w:rsid w:val="00727D30"/>
    <w:rsid w:val="00730D59"/>
    <w:rsid w:val="00731132"/>
    <w:rsid w:val="0073140E"/>
    <w:rsid w:val="0073264D"/>
    <w:rsid w:val="00732DAB"/>
    <w:rsid w:val="00733109"/>
    <w:rsid w:val="007334F2"/>
    <w:rsid w:val="00733553"/>
    <w:rsid w:val="007336C4"/>
    <w:rsid w:val="007337AA"/>
    <w:rsid w:val="00733BEB"/>
    <w:rsid w:val="00733C99"/>
    <w:rsid w:val="00733EE2"/>
    <w:rsid w:val="00734030"/>
    <w:rsid w:val="00734643"/>
    <w:rsid w:val="00737022"/>
    <w:rsid w:val="007370D9"/>
    <w:rsid w:val="007402D5"/>
    <w:rsid w:val="00740505"/>
    <w:rsid w:val="007405C0"/>
    <w:rsid w:val="00740BF2"/>
    <w:rsid w:val="00740C9E"/>
    <w:rsid w:val="00741C42"/>
    <w:rsid w:val="00742227"/>
    <w:rsid w:val="007425E6"/>
    <w:rsid w:val="007432F7"/>
    <w:rsid w:val="0074391B"/>
    <w:rsid w:val="00743C74"/>
    <w:rsid w:val="007443D3"/>
    <w:rsid w:val="00744837"/>
    <w:rsid w:val="00744898"/>
    <w:rsid w:val="00744D76"/>
    <w:rsid w:val="00745B01"/>
    <w:rsid w:val="007462F1"/>
    <w:rsid w:val="0074648B"/>
    <w:rsid w:val="007469EB"/>
    <w:rsid w:val="00746AB9"/>
    <w:rsid w:val="00746B7D"/>
    <w:rsid w:val="00746FD6"/>
    <w:rsid w:val="007479C6"/>
    <w:rsid w:val="00747D68"/>
    <w:rsid w:val="0075152C"/>
    <w:rsid w:val="00751798"/>
    <w:rsid w:val="00751946"/>
    <w:rsid w:val="0075206E"/>
    <w:rsid w:val="00752890"/>
    <w:rsid w:val="00752A58"/>
    <w:rsid w:val="00752DC0"/>
    <w:rsid w:val="00753070"/>
    <w:rsid w:val="00753232"/>
    <w:rsid w:val="007535BA"/>
    <w:rsid w:val="00753DB6"/>
    <w:rsid w:val="00753FC6"/>
    <w:rsid w:val="00754462"/>
    <w:rsid w:val="00754649"/>
    <w:rsid w:val="00754B6A"/>
    <w:rsid w:val="00754DD1"/>
    <w:rsid w:val="00757338"/>
    <w:rsid w:val="007578B8"/>
    <w:rsid w:val="00757F3C"/>
    <w:rsid w:val="0076062C"/>
    <w:rsid w:val="0076101C"/>
    <w:rsid w:val="00761DBE"/>
    <w:rsid w:val="00761E8B"/>
    <w:rsid w:val="00762380"/>
    <w:rsid w:val="0076253B"/>
    <w:rsid w:val="007625D8"/>
    <w:rsid w:val="0076269C"/>
    <w:rsid w:val="00762781"/>
    <w:rsid w:val="00762BEE"/>
    <w:rsid w:val="00763040"/>
    <w:rsid w:val="00763208"/>
    <w:rsid w:val="0076344E"/>
    <w:rsid w:val="00763C1D"/>
    <w:rsid w:val="00763CF5"/>
    <w:rsid w:val="00764441"/>
    <w:rsid w:val="0076457A"/>
    <w:rsid w:val="007646C3"/>
    <w:rsid w:val="00764961"/>
    <w:rsid w:val="0076667E"/>
    <w:rsid w:val="007667E6"/>
    <w:rsid w:val="00766E2E"/>
    <w:rsid w:val="00766E33"/>
    <w:rsid w:val="00767035"/>
    <w:rsid w:val="007673D7"/>
    <w:rsid w:val="0076752C"/>
    <w:rsid w:val="00767BD5"/>
    <w:rsid w:val="00767F8D"/>
    <w:rsid w:val="007702B4"/>
    <w:rsid w:val="00771E09"/>
    <w:rsid w:val="00772A1B"/>
    <w:rsid w:val="00772E2A"/>
    <w:rsid w:val="0077426C"/>
    <w:rsid w:val="007749E7"/>
    <w:rsid w:val="00774A13"/>
    <w:rsid w:val="00774C6F"/>
    <w:rsid w:val="00775408"/>
    <w:rsid w:val="00775893"/>
    <w:rsid w:val="00775A95"/>
    <w:rsid w:val="00775E3D"/>
    <w:rsid w:val="00775E73"/>
    <w:rsid w:val="00775F4E"/>
    <w:rsid w:val="00776052"/>
    <w:rsid w:val="00776079"/>
    <w:rsid w:val="007762F9"/>
    <w:rsid w:val="00776777"/>
    <w:rsid w:val="00776C54"/>
    <w:rsid w:val="00776CD6"/>
    <w:rsid w:val="00776DB1"/>
    <w:rsid w:val="007773B3"/>
    <w:rsid w:val="007773C4"/>
    <w:rsid w:val="00777CD9"/>
    <w:rsid w:val="00780133"/>
    <w:rsid w:val="00780751"/>
    <w:rsid w:val="00780853"/>
    <w:rsid w:val="00780A8D"/>
    <w:rsid w:val="00780AD6"/>
    <w:rsid w:val="0078160B"/>
    <w:rsid w:val="007817C2"/>
    <w:rsid w:val="007818E1"/>
    <w:rsid w:val="00781A47"/>
    <w:rsid w:val="00781DEC"/>
    <w:rsid w:val="00781F59"/>
    <w:rsid w:val="00781F9F"/>
    <w:rsid w:val="00782E3B"/>
    <w:rsid w:val="007831E0"/>
    <w:rsid w:val="0078378D"/>
    <w:rsid w:val="00783907"/>
    <w:rsid w:val="00783BBA"/>
    <w:rsid w:val="00783C49"/>
    <w:rsid w:val="00783E61"/>
    <w:rsid w:val="0078441D"/>
    <w:rsid w:val="00784D96"/>
    <w:rsid w:val="00785180"/>
    <w:rsid w:val="0078560B"/>
    <w:rsid w:val="00785787"/>
    <w:rsid w:val="007861C5"/>
    <w:rsid w:val="00786BF0"/>
    <w:rsid w:val="00786F26"/>
    <w:rsid w:val="00787180"/>
    <w:rsid w:val="00787289"/>
    <w:rsid w:val="007874C6"/>
    <w:rsid w:val="00787D38"/>
    <w:rsid w:val="00787F83"/>
    <w:rsid w:val="00787FCC"/>
    <w:rsid w:val="00790209"/>
    <w:rsid w:val="007904AD"/>
    <w:rsid w:val="00790830"/>
    <w:rsid w:val="00792317"/>
    <w:rsid w:val="00793597"/>
    <w:rsid w:val="007935B4"/>
    <w:rsid w:val="00793657"/>
    <w:rsid w:val="00793A0A"/>
    <w:rsid w:val="00793D00"/>
    <w:rsid w:val="00793F26"/>
    <w:rsid w:val="00794374"/>
    <w:rsid w:val="00794659"/>
    <w:rsid w:val="0079487D"/>
    <w:rsid w:val="0079520F"/>
    <w:rsid w:val="0079683E"/>
    <w:rsid w:val="007971B2"/>
    <w:rsid w:val="007972DB"/>
    <w:rsid w:val="00797371"/>
    <w:rsid w:val="00797852"/>
    <w:rsid w:val="00797E26"/>
    <w:rsid w:val="007A031E"/>
    <w:rsid w:val="007A04EB"/>
    <w:rsid w:val="007A0AD5"/>
    <w:rsid w:val="007A0DEB"/>
    <w:rsid w:val="007A1858"/>
    <w:rsid w:val="007A1993"/>
    <w:rsid w:val="007A2015"/>
    <w:rsid w:val="007A2404"/>
    <w:rsid w:val="007A29D8"/>
    <w:rsid w:val="007A2FE7"/>
    <w:rsid w:val="007A307E"/>
    <w:rsid w:val="007A3532"/>
    <w:rsid w:val="007A437B"/>
    <w:rsid w:val="007A5078"/>
    <w:rsid w:val="007A51BE"/>
    <w:rsid w:val="007A53D6"/>
    <w:rsid w:val="007A5857"/>
    <w:rsid w:val="007A5FF5"/>
    <w:rsid w:val="007A6367"/>
    <w:rsid w:val="007A66C1"/>
    <w:rsid w:val="007A69E1"/>
    <w:rsid w:val="007A71C9"/>
    <w:rsid w:val="007A7520"/>
    <w:rsid w:val="007A7FCE"/>
    <w:rsid w:val="007B0399"/>
    <w:rsid w:val="007B03E0"/>
    <w:rsid w:val="007B0543"/>
    <w:rsid w:val="007B0925"/>
    <w:rsid w:val="007B13EC"/>
    <w:rsid w:val="007B2065"/>
    <w:rsid w:val="007B212E"/>
    <w:rsid w:val="007B25AA"/>
    <w:rsid w:val="007B2A86"/>
    <w:rsid w:val="007B33AF"/>
    <w:rsid w:val="007B3B1C"/>
    <w:rsid w:val="007B4143"/>
    <w:rsid w:val="007B429E"/>
    <w:rsid w:val="007B4439"/>
    <w:rsid w:val="007B4B8B"/>
    <w:rsid w:val="007B4CB6"/>
    <w:rsid w:val="007B54FE"/>
    <w:rsid w:val="007B5B62"/>
    <w:rsid w:val="007B60A8"/>
    <w:rsid w:val="007B6590"/>
    <w:rsid w:val="007B6649"/>
    <w:rsid w:val="007B754E"/>
    <w:rsid w:val="007B7EE0"/>
    <w:rsid w:val="007C116F"/>
    <w:rsid w:val="007C148F"/>
    <w:rsid w:val="007C1DC1"/>
    <w:rsid w:val="007C2836"/>
    <w:rsid w:val="007C285C"/>
    <w:rsid w:val="007C2933"/>
    <w:rsid w:val="007C34E7"/>
    <w:rsid w:val="007C3ADB"/>
    <w:rsid w:val="007C3D63"/>
    <w:rsid w:val="007C40C0"/>
    <w:rsid w:val="007C452A"/>
    <w:rsid w:val="007C4CA6"/>
    <w:rsid w:val="007C5A2C"/>
    <w:rsid w:val="007C5D98"/>
    <w:rsid w:val="007C67C3"/>
    <w:rsid w:val="007C708D"/>
    <w:rsid w:val="007C77D5"/>
    <w:rsid w:val="007C7CCC"/>
    <w:rsid w:val="007D0169"/>
    <w:rsid w:val="007D098D"/>
    <w:rsid w:val="007D0B5E"/>
    <w:rsid w:val="007D1050"/>
    <w:rsid w:val="007D1218"/>
    <w:rsid w:val="007D17A3"/>
    <w:rsid w:val="007D192C"/>
    <w:rsid w:val="007D26DA"/>
    <w:rsid w:val="007D2741"/>
    <w:rsid w:val="007D2866"/>
    <w:rsid w:val="007D335D"/>
    <w:rsid w:val="007D3504"/>
    <w:rsid w:val="007D36D1"/>
    <w:rsid w:val="007D3CFB"/>
    <w:rsid w:val="007D3F63"/>
    <w:rsid w:val="007D461F"/>
    <w:rsid w:val="007D4948"/>
    <w:rsid w:val="007D4A9D"/>
    <w:rsid w:val="007D4D6E"/>
    <w:rsid w:val="007D51F3"/>
    <w:rsid w:val="007D54B1"/>
    <w:rsid w:val="007D5F92"/>
    <w:rsid w:val="007D5FB7"/>
    <w:rsid w:val="007D6474"/>
    <w:rsid w:val="007D6A45"/>
    <w:rsid w:val="007D6A52"/>
    <w:rsid w:val="007D6FD2"/>
    <w:rsid w:val="007D70B5"/>
    <w:rsid w:val="007D79EE"/>
    <w:rsid w:val="007D7BBA"/>
    <w:rsid w:val="007E073E"/>
    <w:rsid w:val="007E0778"/>
    <w:rsid w:val="007E08F5"/>
    <w:rsid w:val="007E0AE1"/>
    <w:rsid w:val="007E0E0C"/>
    <w:rsid w:val="007E1192"/>
    <w:rsid w:val="007E1469"/>
    <w:rsid w:val="007E21CE"/>
    <w:rsid w:val="007E2668"/>
    <w:rsid w:val="007E271E"/>
    <w:rsid w:val="007E29E0"/>
    <w:rsid w:val="007E2F85"/>
    <w:rsid w:val="007E3892"/>
    <w:rsid w:val="007E3DC8"/>
    <w:rsid w:val="007E4407"/>
    <w:rsid w:val="007E4506"/>
    <w:rsid w:val="007E46D7"/>
    <w:rsid w:val="007E4BA2"/>
    <w:rsid w:val="007E4C17"/>
    <w:rsid w:val="007E4EA4"/>
    <w:rsid w:val="007E4ED9"/>
    <w:rsid w:val="007E51E8"/>
    <w:rsid w:val="007E5599"/>
    <w:rsid w:val="007E5825"/>
    <w:rsid w:val="007E589D"/>
    <w:rsid w:val="007E5C02"/>
    <w:rsid w:val="007E5D9A"/>
    <w:rsid w:val="007E5F15"/>
    <w:rsid w:val="007E6B2C"/>
    <w:rsid w:val="007E6B63"/>
    <w:rsid w:val="007F0014"/>
    <w:rsid w:val="007F0067"/>
    <w:rsid w:val="007F0284"/>
    <w:rsid w:val="007F1134"/>
    <w:rsid w:val="007F1278"/>
    <w:rsid w:val="007F1906"/>
    <w:rsid w:val="007F192A"/>
    <w:rsid w:val="007F26A1"/>
    <w:rsid w:val="007F2905"/>
    <w:rsid w:val="007F2C5A"/>
    <w:rsid w:val="007F2D19"/>
    <w:rsid w:val="007F2F6F"/>
    <w:rsid w:val="007F3072"/>
    <w:rsid w:val="007F3187"/>
    <w:rsid w:val="007F4377"/>
    <w:rsid w:val="007F4439"/>
    <w:rsid w:val="007F4687"/>
    <w:rsid w:val="007F47B3"/>
    <w:rsid w:val="007F5DF8"/>
    <w:rsid w:val="007F5F93"/>
    <w:rsid w:val="007F6061"/>
    <w:rsid w:val="007F60CF"/>
    <w:rsid w:val="007F687B"/>
    <w:rsid w:val="007F737F"/>
    <w:rsid w:val="0080001A"/>
    <w:rsid w:val="008000BA"/>
    <w:rsid w:val="0080047A"/>
    <w:rsid w:val="00800B39"/>
    <w:rsid w:val="00800B44"/>
    <w:rsid w:val="00800ECD"/>
    <w:rsid w:val="0080125C"/>
    <w:rsid w:val="00801D18"/>
    <w:rsid w:val="00801D4A"/>
    <w:rsid w:val="008026D2"/>
    <w:rsid w:val="00802981"/>
    <w:rsid w:val="00802DF3"/>
    <w:rsid w:val="00803843"/>
    <w:rsid w:val="00803F87"/>
    <w:rsid w:val="0080423D"/>
    <w:rsid w:val="008044F3"/>
    <w:rsid w:val="00804574"/>
    <w:rsid w:val="00804B3B"/>
    <w:rsid w:val="00804D31"/>
    <w:rsid w:val="00805E6E"/>
    <w:rsid w:val="008060A3"/>
    <w:rsid w:val="00806349"/>
    <w:rsid w:val="0080650F"/>
    <w:rsid w:val="008067BA"/>
    <w:rsid w:val="00806E6E"/>
    <w:rsid w:val="0080700C"/>
    <w:rsid w:val="0080774E"/>
    <w:rsid w:val="00807F44"/>
    <w:rsid w:val="00810865"/>
    <w:rsid w:val="00810F0A"/>
    <w:rsid w:val="008110F4"/>
    <w:rsid w:val="00811322"/>
    <w:rsid w:val="00811A2A"/>
    <w:rsid w:val="00811B9B"/>
    <w:rsid w:val="00812033"/>
    <w:rsid w:val="00812274"/>
    <w:rsid w:val="00812AE8"/>
    <w:rsid w:val="00812DB6"/>
    <w:rsid w:val="00812F28"/>
    <w:rsid w:val="00813137"/>
    <w:rsid w:val="008136C7"/>
    <w:rsid w:val="00813EBE"/>
    <w:rsid w:val="00814D88"/>
    <w:rsid w:val="00815085"/>
    <w:rsid w:val="00815F5E"/>
    <w:rsid w:val="00815FF3"/>
    <w:rsid w:val="008165FC"/>
    <w:rsid w:val="008168C4"/>
    <w:rsid w:val="008168E2"/>
    <w:rsid w:val="008171C0"/>
    <w:rsid w:val="008172DC"/>
    <w:rsid w:val="00817454"/>
    <w:rsid w:val="008202D3"/>
    <w:rsid w:val="0082053C"/>
    <w:rsid w:val="008210CA"/>
    <w:rsid w:val="00821A5A"/>
    <w:rsid w:val="00821BB0"/>
    <w:rsid w:val="00821D75"/>
    <w:rsid w:val="00821E7E"/>
    <w:rsid w:val="00822667"/>
    <w:rsid w:val="00822BEE"/>
    <w:rsid w:val="00822DF1"/>
    <w:rsid w:val="0082322C"/>
    <w:rsid w:val="00823AD6"/>
    <w:rsid w:val="00824878"/>
    <w:rsid w:val="0082569E"/>
    <w:rsid w:val="008259EB"/>
    <w:rsid w:val="00826106"/>
    <w:rsid w:val="00826324"/>
    <w:rsid w:val="008265AA"/>
    <w:rsid w:val="00826A50"/>
    <w:rsid w:val="00827174"/>
    <w:rsid w:val="008273FF"/>
    <w:rsid w:val="00827D82"/>
    <w:rsid w:val="008307D8"/>
    <w:rsid w:val="00830831"/>
    <w:rsid w:val="00830DA6"/>
    <w:rsid w:val="00830E92"/>
    <w:rsid w:val="00831056"/>
    <w:rsid w:val="00831309"/>
    <w:rsid w:val="00831815"/>
    <w:rsid w:val="008319A5"/>
    <w:rsid w:val="00831D19"/>
    <w:rsid w:val="00831DB0"/>
    <w:rsid w:val="00832B03"/>
    <w:rsid w:val="00832CF8"/>
    <w:rsid w:val="00833494"/>
    <w:rsid w:val="0083351D"/>
    <w:rsid w:val="008338B3"/>
    <w:rsid w:val="0083483A"/>
    <w:rsid w:val="00834DB4"/>
    <w:rsid w:val="00834E74"/>
    <w:rsid w:val="00834FA7"/>
    <w:rsid w:val="00835033"/>
    <w:rsid w:val="00835567"/>
    <w:rsid w:val="00835711"/>
    <w:rsid w:val="00835761"/>
    <w:rsid w:val="00835AE8"/>
    <w:rsid w:val="00835D41"/>
    <w:rsid w:val="00836034"/>
    <w:rsid w:val="00836243"/>
    <w:rsid w:val="008367F8"/>
    <w:rsid w:val="008368D8"/>
    <w:rsid w:val="00836A66"/>
    <w:rsid w:val="0083748B"/>
    <w:rsid w:val="00837BD9"/>
    <w:rsid w:val="00840A72"/>
    <w:rsid w:val="00840DDA"/>
    <w:rsid w:val="008413ED"/>
    <w:rsid w:val="008414D6"/>
    <w:rsid w:val="00841E9C"/>
    <w:rsid w:val="00842105"/>
    <w:rsid w:val="0084251C"/>
    <w:rsid w:val="008430CE"/>
    <w:rsid w:val="00843595"/>
    <w:rsid w:val="00843B90"/>
    <w:rsid w:val="0084497B"/>
    <w:rsid w:val="00844A4A"/>
    <w:rsid w:val="0084596F"/>
    <w:rsid w:val="00845A00"/>
    <w:rsid w:val="00846A09"/>
    <w:rsid w:val="00846A2C"/>
    <w:rsid w:val="00847070"/>
    <w:rsid w:val="008471DA"/>
    <w:rsid w:val="0084794F"/>
    <w:rsid w:val="0085002A"/>
    <w:rsid w:val="008508FD"/>
    <w:rsid w:val="00850E4C"/>
    <w:rsid w:val="008517E1"/>
    <w:rsid w:val="008526C7"/>
    <w:rsid w:val="008526E8"/>
    <w:rsid w:val="00852B0F"/>
    <w:rsid w:val="00852E0D"/>
    <w:rsid w:val="0085372C"/>
    <w:rsid w:val="00853764"/>
    <w:rsid w:val="00853DBB"/>
    <w:rsid w:val="00854205"/>
    <w:rsid w:val="0085448E"/>
    <w:rsid w:val="0085470A"/>
    <w:rsid w:val="0085524B"/>
    <w:rsid w:val="0085524C"/>
    <w:rsid w:val="00855404"/>
    <w:rsid w:val="0085559E"/>
    <w:rsid w:val="00855776"/>
    <w:rsid w:val="00855C50"/>
    <w:rsid w:val="00856480"/>
    <w:rsid w:val="00856894"/>
    <w:rsid w:val="00856B6A"/>
    <w:rsid w:val="008570D5"/>
    <w:rsid w:val="0085751E"/>
    <w:rsid w:val="00857629"/>
    <w:rsid w:val="00857A46"/>
    <w:rsid w:val="00857A6C"/>
    <w:rsid w:val="00857AD6"/>
    <w:rsid w:val="0086061F"/>
    <w:rsid w:val="00860E32"/>
    <w:rsid w:val="00861467"/>
    <w:rsid w:val="00862232"/>
    <w:rsid w:val="008623CC"/>
    <w:rsid w:val="00862749"/>
    <w:rsid w:val="00862D45"/>
    <w:rsid w:val="00862DDB"/>
    <w:rsid w:val="00863285"/>
    <w:rsid w:val="00863589"/>
    <w:rsid w:val="008636CE"/>
    <w:rsid w:val="008638C5"/>
    <w:rsid w:val="008638E0"/>
    <w:rsid w:val="00863B74"/>
    <w:rsid w:val="00864E7D"/>
    <w:rsid w:val="00864F83"/>
    <w:rsid w:val="008651FF"/>
    <w:rsid w:val="008656FD"/>
    <w:rsid w:val="00866060"/>
    <w:rsid w:val="00866AF8"/>
    <w:rsid w:val="00867458"/>
    <w:rsid w:val="00867520"/>
    <w:rsid w:val="008679F3"/>
    <w:rsid w:val="00871223"/>
    <w:rsid w:val="00871502"/>
    <w:rsid w:val="00871BC9"/>
    <w:rsid w:val="008720FC"/>
    <w:rsid w:val="00872710"/>
    <w:rsid w:val="00872910"/>
    <w:rsid w:val="00873452"/>
    <w:rsid w:val="008739B3"/>
    <w:rsid w:val="00874C06"/>
    <w:rsid w:val="00874D3E"/>
    <w:rsid w:val="00875060"/>
    <w:rsid w:val="00875191"/>
    <w:rsid w:val="00875A83"/>
    <w:rsid w:val="0087616B"/>
    <w:rsid w:val="00876188"/>
    <w:rsid w:val="008765B2"/>
    <w:rsid w:val="00876662"/>
    <w:rsid w:val="008768BE"/>
    <w:rsid w:val="00877314"/>
    <w:rsid w:val="008773C9"/>
    <w:rsid w:val="00877896"/>
    <w:rsid w:val="00877F86"/>
    <w:rsid w:val="00880582"/>
    <w:rsid w:val="008808EA"/>
    <w:rsid w:val="00880B05"/>
    <w:rsid w:val="00880B8F"/>
    <w:rsid w:val="00881DFA"/>
    <w:rsid w:val="00881F8B"/>
    <w:rsid w:val="00882822"/>
    <w:rsid w:val="00882857"/>
    <w:rsid w:val="00882D4C"/>
    <w:rsid w:val="00883271"/>
    <w:rsid w:val="0088337B"/>
    <w:rsid w:val="00883426"/>
    <w:rsid w:val="0088385D"/>
    <w:rsid w:val="00883AD5"/>
    <w:rsid w:val="00883CF1"/>
    <w:rsid w:val="00883E96"/>
    <w:rsid w:val="0088418A"/>
    <w:rsid w:val="008842D4"/>
    <w:rsid w:val="0088483E"/>
    <w:rsid w:val="00884BC3"/>
    <w:rsid w:val="008856A3"/>
    <w:rsid w:val="00885D87"/>
    <w:rsid w:val="00885E0F"/>
    <w:rsid w:val="008865A7"/>
    <w:rsid w:val="008865DB"/>
    <w:rsid w:val="0088665C"/>
    <w:rsid w:val="00886CD8"/>
    <w:rsid w:val="008873FC"/>
    <w:rsid w:val="0088750C"/>
    <w:rsid w:val="00887967"/>
    <w:rsid w:val="00887DCB"/>
    <w:rsid w:val="00890207"/>
    <w:rsid w:val="00890583"/>
    <w:rsid w:val="00890798"/>
    <w:rsid w:val="00890C0B"/>
    <w:rsid w:val="00891E73"/>
    <w:rsid w:val="00891F59"/>
    <w:rsid w:val="0089241E"/>
    <w:rsid w:val="008925C9"/>
    <w:rsid w:val="00892CC9"/>
    <w:rsid w:val="00892D51"/>
    <w:rsid w:val="008938F4"/>
    <w:rsid w:val="00893F00"/>
    <w:rsid w:val="008944B1"/>
    <w:rsid w:val="008944FA"/>
    <w:rsid w:val="0089463D"/>
    <w:rsid w:val="008946B4"/>
    <w:rsid w:val="00895870"/>
    <w:rsid w:val="00895A0E"/>
    <w:rsid w:val="00895AA1"/>
    <w:rsid w:val="00896CC7"/>
    <w:rsid w:val="00896D8D"/>
    <w:rsid w:val="008970D7"/>
    <w:rsid w:val="00897652"/>
    <w:rsid w:val="0089766C"/>
    <w:rsid w:val="00897A58"/>
    <w:rsid w:val="00897AD7"/>
    <w:rsid w:val="008A016E"/>
    <w:rsid w:val="008A1412"/>
    <w:rsid w:val="008A197C"/>
    <w:rsid w:val="008A1B7E"/>
    <w:rsid w:val="008A211C"/>
    <w:rsid w:val="008A23EF"/>
    <w:rsid w:val="008A2AF9"/>
    <w:rsid w:val="008A2C0A"/>
    <w:rsid w:val="008A2F13"/>
    <w:rsid w:val="008A32EF"/>
    <w:rsid w:val="008A377D"/>
    <w:rsid w:val="008A4AB7"/>
    <w:rsid w:val="008A57B2"/>
    <w:rsid w:val="008A59B6"/>
    <w:rsid w:val="008A61FF"/>
    <w:rsid w:val="008A6468"/>
    <w:rsid w:val="008A6846"/>
    <w:rsid w:val="008A6F2D"/>
    <w:rsid w:val="008A72CC"/>
    <w:rsid w:val="008A7468"/>
    <w:rsid w:val="008A7666"/>
    <w:rsid w:val="008A7DE8"/>
    <w:rsid w:val="008B0215"/>
    <w:rsid w:val="008B032B"/>
    <w:rsid w:val="008B1629"/>
    <w:rsid w:val="008B1A0B"/>
    <w:rsid w:val="008B23B1"/>
    <w:rsid w:val="008B249E"/>
    <w:rsid w:val="008B2553"/>
    <w:rsid w:val="008B2747"/>
    <w:rsid w:val="008B289E"/>
    <w:rsid w:val="008B292D"/>
    <w:rsid w:val="008B2CB5"/>
    <w:rsid w:val="008B2E8E"/>
    <w:rsid w:val="008B2F31"/>
    <w:rsid w:val="008B2F43"/>
    <w:rsid w:val="008B3AF1"/>
    <w:rsid w:val="008B3E08"/>
    <w:rsid w:val="008B451F"/>
    <w:rsid w:val="008B4635"/>
    <w:rsid w:val="008B4646"/>
    <w:rsid w:val="008B477F"/>
    <w:rsid w:val="008B4F70"/>
    <w:rsid w:val="008B5038"/>
    <w:rsid w:val="008B528F"/>
    <w:rsid w:val="008B55D7"/>
    <w:rsid w:val="008B5D96"/>
    <w:rsid w:val="008B5E50"/>
    <w:rsid w:val="008B5F86"/>
    <w:rsid w:val="008B6163"/>
    <w:rsid w:val="008B6303"/>
    <w:rsid w:val="008B6789"/>
    <w:rsid w:val="008B67BF"/>
    <w:rsid w:val="008B6A7C"/>
    <w:rsid w:val="008B6B4F"/>
    <w:rsid w:val="008B7204"/>
    <w:rsid w:val="008B7D18"/>
    <w:rsid w:val="008B7D52"/>
    <w:rsid w:val="008C1416"/>
    <w:rsid w:val="008C15BA"/>
    <w:rsid w:val="008C1964"/>
    <w:rsid w:val="008C23A6"/>
    <w:rsid w:val="008C2583"/>
    <w:rsid w:val="008C3599"/>
    <w:rsid w:val="008C35A5"/>
    <w:rsid w:val="008C36AB"/>
    <w:rsid w:val="008C3A21"/>
    <w:rsid w:val="008C3E53"/>
    <w:rsid w:val="008C3E89"/>
    <w:rsid w:val="008C3FEF"/>
    <w:rsid w:val="008C4325"/>
    <w:rsid w:val="008C495D"/>
    <w:rsid w:val="008C4CAE"/>
    <w:rsid w:val="008C50FE"/>
    <w:rsid w:val="008C5C23"/>
    <w:rsid w:val="008C5D88"/>
    <w:rsid w:val="008C60B9"/>
    <w:rsid w:val="008C636B"/>
    <w:rsid w:val="008C6613"/>
    <w:rsid w:val="008C6D22"/>
    <w:rsid w:val="008C6F76"/>
    <w:rsid w:val="008C745A"/>
    <w:rsid w:val="008C7C49"/>
    <w:rsid w:val="008C7D47"/>
    <w:rsid w:val="008C7EA7"/>
    <w:rsid w:val="008D032D"/>
    <w:rsid w:val="008D043C"/>
    <w:rsid w:val="008D0A87"/>
    <w:rsid w:val="008D0C41"/>
    <w:rsid w:val="008D142F"/>
    <w:rsid w:val="008D1694"/>
    <w:rsid w:val="008D179A"/>
    <w:rsid w:val="008D1CE1"/>
    <w:rsid w:val="008D1E5C"/>
    <w:rsid w:val="008D22A9"/>
    <w:rsid w:val="008D28C7"/>
    <w:rsid w:val="008D291C"/>
    <w:rsid w:val="008D2AC1"/>
    <w:rsid w:val="008D2B66"/>
    <w:rsid w:val="008D2B74"/>
    <w:rsid w:val="008D3320"/>
    <w:rsid w:val="008D3C6E"/>
    <w:rsid w:val="008D4224"/>
    <w:rsid w:val="008D45EC"/>
    <w:rsid w:val="008D46D6"/>
    <w:rsid w:val="008D4EF1"/>
    <w:rsid w:val="008D5035"/>
    <w:rsid w:val="008D588B"/>
    <w:rsid w:val="008D5AD2"/>
    <w:rsid w:val="008D5BD3"/>
    <w:rsid w:val="008D5C46"/>
    <w:rsid w:val="008D5D2F"/>
    <w:rsid w:val="008D62C9"/>
    <w:rsid w:val="008D7ED2"/>
    <w:rsid w:val="008E0910"/>
    <w:rsid w:val="008E0A28"/>
    <w:rsid w:val="008E0B33"/>
    <w:rsid w:val="008E198D"/>
    <w:rsid w:val="008E19CD"/>
    <w:rsid w:val="008E2080"/>
    <w:rsid w:val="008E2097"/>
    <w:rsid w:val="008E22AA"/>
    <w:rsid w:val="008E243A"/>
    <w:rsid w:val="008E25D5"/>
    <w:rsid w:val="008E2D56"/>
    <w:rsid w:val="008E3A46"/>
    <w:rsid w:val="008E3AB8"/>
    <w:rsid w:val="008E43B1"/>
    <w:rsid w:val="008E43C0"/>
    <w:rsid w:val="008E4CE9"/>
    <w:rsid w:val="008E4FC3"/>
    <w:rsid w:val="008E5A95"/>
    <w:rsid w:val="008E5FEF"/>
    <w:rsid w:val="008E61DB"/>
    <w:rsid w:val="008E6274"/>
    <w:rsid w:val="008E6620"/>
    <w:rsid w:val="008E6EBF"/>
    <w:rsid w:val="008E7546"/>
    <w:rsid w:val="008E7E35"/>
    <w:rsid w:val="008F02FD"/>
    <w:rsid w:val="008F067A"/>
    <w:rsid w:val="008F083C"/>
    <w:rsid w:val="008F0DCF"/>
    <w:rsid w:val="008F1ED8"/>
    <w:rsid w:val="008F1FE7"/>
    <w:rsid w:val="008F25F4"/>
    <w:rsid w:val="008F3030"/>
    <w:rsid w:val="008F349D"/>
    <w:rsid w:val="008F34BE"/>
    <w:rsid w:val="008F3C25"/>
    <w:rsid w:val="008F3DD4"/>
    <w:rsid w:val="008F4469"/>
    <w:rsid w:val="008F4B8A"/>
    <w:rsid w:val="008F4EAE"/>
    <w:rsid w:val="008F5AFB"/>
    <w:rsid w:val="008F6294"/>
    <w:rsid w:val="008F71B6"/>
    <w:rsid w:val="008F7619"/>
    <w:rsid w:val="009006C5"/>
    <w:rsid w:val="00900757"/>
    <w:rsid w:val="009007D5"/>
    <w:rsid w:val="00900B2D"/>
    <w:rsid w:val="009012AC"/>
    <w:rsid w:val="009015EE"/>
    <w:rsid w:val="00901B8A"/>
    <w:rsid w:val="009021EF"/>
    <w:rsid w:val="0090230F"/>
    <w:rsid w:val="00902482"/>
    <w:rsid w:val="00902611"/>
    <w:rsid w:val="009028B3"/>
    <w:rsid w:val="00902B13"/>
    <w:rsid w:val="00902DA0"/>
    <w:rsid w:val="00902F24"/>
    <w:rsid w:val="00903473"/>
    <w:rsid w:val="00903E5C"/>
    <w:rsid w:val="00904030"/>
    <w:rsid w:val="0090451A"/>
    <w:rsid w:val="00904A97"/>
    <w:rsid w:val="00905591"/>
    <w:rsid w:val="0090563A"/>
    <w:rsid w:val="0090601C"/>
    <w:rsid w:val="0090640E"/>
    <w:rsid w:val="009066B7"/>
    <w:rsid w:val="009068C2"/>
    <w:rsid w:val="00906B79"/>
    <w:rsid w:val="00906FEF"/>
    <w:rsid w:val="00907497"/>
    <w:rsid w:val="00907631"/>
    <w:rsid w:val="00907C89"/>
    <w:rsid w:val="00907F5E"/>
    <w:rsid w:val="0091020E"/>
    <w:rsid w:val="0091042B"/>
    <w:rsid w:val="00910B60"/>
    <w:rsid w:val="0091145F"/>
    <w:rsid w:val="00911609"/>
    <w:rsid w:val="00911638"/>
    <w:rsid w:val="00912102"/>
    <w:rsid w:val="00912145"/>
    <w:rsid w:val="00913835"/>
    <w:rsid w:val="00913A5B"/>
    <w:rsid w:val="00913B1A"/>
    <w:rsid w:val="00913E60"/>
    <w:rsid w:val="00913EAF"/>
    <w:rsid w:val="00913FAF"/>
    <w:rsid w:val="00914169"/>
    <w:rsid w:val="00914236"/>
    <w:rsid w:val="00914335"/>
    <w:rsid w:val="009144EB"/>
    <w:rsid w:val="009145AE"/>
    <w:rsid w:val="00914A4D"/>
    <w:rsid w:val="00914A86"/>
    <w:rsid w:val="00914BF9"/>
    <w:rsid w:val="00914C81"/>
    <w:rsid w:val="00914D48"/>
    <w:rsid w:val="009155F0"/>
    <w:rsid w:val="00915A32"/>
    <w:rsid w:val="00915F5B"/>
    <w:rsid w:val="009164E0"/>
    <w:rsid w:val="00916724"/>
    <w:rsid w:val="00916961"/>
    <w:rsid w:val="00916D3B"/>
    <w:rsid w:val="00916E2A"/>
    <w:rsid w:val="009174F9"/>
    <w:rsid w:val="009177F0"/>
    <w:rsid w:val="009201E1"/>
    <w:rsid w:val="0092025F"/>
    <w:rsid w:val="0092048D"/>
    <w:rsid w:val="00920CEF"/>
    <w:rsid w:val="009213D9"/>
    <w:rsid w:val="00921720"/>
    <w:rsid w:val="0092183A"/>
    <w:rsid w:val="00921E0C"/>
    <w:rsid w:val="0092232E"/>
    <w:rsid w:val="00922341"/>
    <w:rsid w:val="009228C9"/>
    <w:rsid w:val="00922948"/>
    <w:rsid w:val="00922C91"/>
    <w:rsid w:val="009230D9"/>
    <w:rsid w:val="00923158"/>
    <w:rsid w:val="009234A9"/>
    <w:rsid w:val="009236CB"/>
    <w:rsid w:val="009239BF"/>
    <w:rsid w:val="00923D6A"/>
    <w:rsid w:val="00923E64"/>
    <w:rsid w:val="00923EF2"/>
    <w:rsid w:val="00924268"/>
    <w:rsid w:val="009247EC"/>
    <w:rsid w:val="00924A52"/>
    <w:rsid w:val="009258B4"/>
    <w:rsid w:val="00925B29"/>
    <w:rsid w:val="00925C8C"/>
    <w:rsid w:val="00925D01"/>
    <w:rsid w:val="00925DDA"/>
    <w:rsid w:val="00926B8C"/>
    <w:rsid w:val="00926CCA"/>
    <w:rsid w:val="0092730E"/>
    <w:rsid w:val="00927E65"/>
    <w:rsid w:val="009306AA"/>
    <w:rsid w:val="00930B8F"/>
    <w:rsid w:val="00931463"/>
    <w:rsid w:val="00931471"/>
    <w:rsid w:val="00931627"/>
    <w:rsid w:val="009316BA"/>
    <w:rsid w:val="00932729"/>
    <w:rsid w:val="00932F08"/>
    <w:rsid w:val="009333C7"/>
    <w:rsid w:val="009333C9"/>
    <w:rsid w:val="00933564"/>
    <w:rsid w:val="0093359B"/>
    <w:rsid w:val="0093370D"/>
    <w:rsid w:val="00933F26"/>
    <w:rsid w:val="00934013"/>
    <w:rsid w:val="00934193"/>
    <w:rsid w:val="0093437C"/>
    <w:rsid w:val="0093446C"/>
    <w:rsid w:val="00934591"/>
    <w:rsid w:val="00934F78"/>
    <w:rsid w:val="00934F83"/>
    <w:rsid w:val="00935C9C"/>
    <w:rsid w:val="00935E9F"/>
    <w:rsid w:val="00936749"/>
    <w:rsid w:val="0093679A"/>
    <w:rsid w:val="009368BD"/>
    <w:rsid w:val="00936D1E"/>
    <w:rsid w:val="009378AE"/>
    <w:rsid w:val="00937D70"/>
    <w:rsid w:val="00937E30"/>
    <w:rsid w:val="00937FDB"/>
    <w:rsid w:val="00940004"/>
    <w:rsid w:val="0094061F"/>
    <w:rsid w:val="0094073C"/>
    <w:rsid w:val="00942100"/>
    <w:rsid w:val="009422C2"/>
    <w:rsid w:val="00942334"/>
    <w:rsid w:val="009429FA"/>
    <w:rsid w:val="00942B63"/>
    <w:rsid w:val="00942BCF"/>
    <w:rsid w:val="00942F86"/>
    <w:rsid w:val="009434D9"/>
    <w:rsid w:val="009434ED"/>
    <w:rsid w:val="00943EA2"/>
    <w:rsid w:val="00944922"/>
    <w:rsid w:val="00944B7A"/>
    <w:rsid w:val="00944FC7"/>
    <w:rsid w:val="0094557D"/>
    <w:rsid w:val="00945A62"/>
    <w:rsid w:val="00945FDA"/>
    <w:rsid w:val="00946259"/>
    <w:rsid w:val="0094691E"/>
    <w:rsid w:val="00946D8E"/>
    <w:rsid w:val="00947AC9"/>
    <w:rsid w:val="00950096"/>
    <w:rsid w:val="00950128"/>
    <w:rsid w:val="00950586"/>
    <w:rsid w:val="0095126A"/>
    <w:rsid w:val="00951CB2"/>
    <w:rsid w:val="00952FE6"/>
    <w:rsid w:val="009530FE"/>
    <w:rsid w:val="009535CA"/>
    <w:rsid w:val="0095389D"/>
    <w:rsid w:val="00953BFB"/>
    <w:rsid w:val="00953CB5"/>
    <w:rsid w:val="00953CEF"/>
    <w:rsid w:val="00953F4A"/>
    <w:rsid w:val="00953F6E"/>
    <w:rsid w:val="0095434F"/>
    <w:rsid w:val="00954B6B"/>
    <w:rsid w:val="00954DF3"/>
    <w:rsid w:val="00954E20"/>
    <w:rsid w:val="009551D8"/>
    <w:rsid w:val="009559D0"/>
    <w:rsid w:val="009566D0"/>
    <w:rsid w:val="00956C79"/>
    <w:rsid w:val="00957143"/>
    <w:rsid w:val="00957531"/>
    <w:rsid w:val="00957989"/>
    <w:rsid w:val="00957DD3"/>
    <w:rsid w:val="0096014C"/>
    <w:rsid w:val="00960167"/>
    <w:rsid w:val="00960437"/>
    <w:rsid w:val="009604AF"/>
    <w:rsid w:val="00960531"/>
    <w:rsid w:val="0096065F"/>
    <w:rsid w:val="00960AF5"/>
    <w:rsid w:val="00960C12"/>
    <w:rsid w:val="009615AC"/>
    <w:rsid w:val="00961833"/>
    <w:rsid w:val="009619A3"/>
    <w:rsid w:val="00961D27"/>
    <w:rsid w:val="009621AF"/>
    <w:rsid w:val="00962D70"/>
    <w:rsid w:val="00963167"/>
    <w:rsid w:val="009633EE"/>
    <w:rsid w:val="009634F2"/>
    <w:rsid w:val="00963B73"/>
    <w:rsid w:val="0096420B"/>
    <w:rsid w:val="0096452E"/>
    <w:rsid w:val="00964797"/>
    <w:rsid w:val="0096488B"/>
    <w:rsid w:val="00964E25"/>
    <w:rsid w:val="00965B74"/>
    <w:rsid w:val="00965C7E"/>
    <w:rsid w:val="00965E16"/>
    <w:rsid w:val="0096612D"/>
    <w:rsid w:val="00966C03"/>
    <w:rsid w:val="009675C8"/>
    <w:rsid w:val="009678BF"/>
    <w:rsid w:val="00967D67"/>
    <w:rsid w:val="0097014B"/>
    <w:rsid w:val="009703C0"/>
    <w:rsid w:val="009707D8"/>
    <w:rsid w:val="00970A3D"/>
    <w:rsid w:val="00971DDD"/>
    <w:rsid w:val="00971E24"/>
    <w:rsid w:val="0097207C"/>
    <w:rsid w:val="009723E8"/>
    <w:rsid w:val="00972685"/>
    <w:rsid w:val="00972F03"/>
    <w:rsid w:val="009737EC"/>
    <w:rsid w:val="009742C0"/>
    <w:rsid w:val="0097495C"/>
    <w:rsid w:val="0097496E"/>
    <w:rsid w:val="00974E93"/>
    <w:rsid w:val="009751A7"/>
    <w:rsid w:val="009755EE"/>
    <w:rsid w:val="00975844"/>
    <w:rsid w:val="0097597F"/>
    <w:rsid w:val="00975E7B"/>
    <w:rsid w:val="00975EB5"/>
    <w:rsid w:val="00976022"/>
    <w:rsid w:val="00976482"/>
    <w:rsid w:val="0097679B"/>
    <w:rsid w:val="00976C58"/>
    <w:rsid w:val="00976D40"/>
    <w:rsid w:val="00977516"/>
    <w:rsid w:val="00977BF5"/>
    <w:rsid w:val="00980204"/>
    <w:rsid w:val="00980596"/>
    <w:rsid w:val="00980A74"/>
    <w:rsid w:val="009818CC"/>
    <w:rsid w:val="009822A9"/>
    <w:rsid w:val="00982854"/>
    <w:rsid w:val="00982B3F"/>
    <w:rsid w:val="00982D6D"/>
    <w:rsid w:val="0098354F"/>
    <w:rsid w:val="009835D2"/>
    <w:rsid w:val="00983786"/>
    <w:rsid w:val="009837CF"/>
    <w:rsid w:val="00983D97"/>
    <w:rsid w:val="0098455B"/>
    <w:rsid w:val="00984584"/>
    <w:rsid w:val="0098484D"/>
    <w:rsid w:val="00985081"/>
    <w:rsid w:val="009852CC"/>
    <w:rsid w:val="00985F2F"/>
    <w:rsid w:val="00986009"/>
    <w:rsid w:val="00986551"/>
    <w:rsid w:val="00986CB3"/>
    <w:rsid w:val="00987044"/>
    <w:rsid w:val="0098720E"/>
    <w:rsid w:val="00987420"/>
    <w:rsid w:val="00987857"/>
    <w:rsid w:val="00987D34"/>
    <w:rsid w:val="00990205"/>
    <w:rsid w:val="00990473"/>
    <w:rsid w:val="009905BF"/>
    <w:rsid w:val="00990ACE"/>
    <w:rsid w:val="00990EA5"/>
    <w:rsid w:val="00991A9A"/>
    <w:rsid w:val="0099238F"/>
    <w:rsid w:val="00992A7A"/>
    <w:rsid w:val="00992D26"/>
    <w:rsid w:val="00992E49"/>
    <w:rsid w:val="00992F00"/>
    <w:rsid w:val="009933DA"/>
    <w:rsid w:val="0099340A"/>
    <w:rsid w:val="00993447"/>
    <w:rsid w:val="00993608"/>
    <w:rsid w:val="00993675"/>
    <w:rsid w:val="00994B42"/>
    <w:rsid w:val="00994B47"/>
    <w:rsid w:val="00994BB9"/>
    <w:rsid w:val="00994FE9"/>
    <w:rsid w:val="00995AC0"/>
    <w:rsid w:val="00995E76"/>
    <w:rsid w:val="00996443"/>
    <w:rsid w:val="009A0256"/>
    <w:rsid w:val="009A07C0"/>
    <w:rsid w:val="009A0922"/>
    <w:rsid w:val="009A1E50"/>
    <w:rsid w:val="009A2117"/>
    <w:rsid w:val="009A235D"/>
    <w:rsid w:val="009A24A7"/>
    <w:rsid w:val="009A2B86"/>
    <w:rsid w:val="009A2FE5"/>
    <w:rsid w:val="009A36EB"/>
    <w:rsid w:val="009A3A11"/>
    <w:rsid w:val="009A3D1C"/>
    <w:rsid w:val="009A4A5B"/>
    <w:rsid w:val="009A4F1D"/>
    <w:rsid w:val="009A5336"/>
    <w:rsid w:val="009A57F6"/>
    <w:rsid w:val="009A580A"/>
    <w:rsid w:val="009A5AE1"/>
    <w:rsid w:val="009A6002"/>
    <w:rsid w:val="009A60A6"/>
    <w:rsid w:val="009A61B7"/>
    <w:rsid w:val="009A6307"/>
    <w:rsid w:val="009A642D"/>
    <w:rsid w:val="009A6832"/>
    <w:rsid w:val="009A6C31"/>
    <w:rsid w:val="009A7267"/>
    <w:rsid w:val="009A791D"/>
    <w:rsid w:val="009B04D4"/>
    <w:rsid w:val="009B057E"/>
    <w:rsid w:val="009B0D29"/>
    <w:rsid w:val="009B12FF"/>
    <w:rsid w:val="009B1DD2"/>
    <w:rsid w:val="009B1E4B"/>
    <w:rsid w:val="009B1F39"/>
    <w:rsid w:val="009B2854"/>
    <w:rsid w:val="009B2A42"/>
    <w:rsid w:val="009B3295"/>
    <w:rsid w:val="009B32D9"/>
    <w:rsid w:val="009B396F"/>
    <w:rsid w:val="009B3D88"/>
    <w:rsid w:val="009B4475"/>
    <w:rsid w:val="009B4547"/>
    <w:rsid w:val="009B46C1"/>
    <w:rsid w:val="009B4957"/>
    <w:rsid w:val="009B4F2E"/>
    <w:rsid w:val="009B4F43"/>
    <w:rsid w:val="009B5048"/>
    <w:rsid w:val="009B55C9"/>
    <w:rsid w:val="009B61D8"/>
    <w:rsid w:val="009B652A"/>
    <w:rsid w:val="009B680E"/>
    <w:rsid w:val="009B7219"/>
    <w:rsid w:val="009B7D87"/>
    <w:rsid w:val="009B7E69"/>
    <w:rsid w:val="009B7F58"/>
    <w:rsid w:val="009C0148"/>
    <w:rsid w:val="009C0D5F"/>
    <w:rsid w:val="009C109E"/>
    <w:rsid w:val="009C124F"/>
    <w:rsid w:val="009C1290"/>
    <w:rsid w:val="009C12D6"/>
    <w:rsid w:val="009C1CBF"/>
    <w:rsid w:val="009C1D69"/>
    <w:rsid w:val="009C24E0"/>
    <w:rsid w:val="009C25E4"/>
    <w:rsid w:val="009C28AB"/>
    <w:rsid w:val="009C2A33"/>
    <w:rsid w:val="009C3B4F"/>
    <w:rsid w:val="009C3F7C"/>
    <w:rsid w:val="009C4807"/>
    <w:rsid w:val="009C4C22"/>
    <w:rsid w:val="009C538F"/>
    <w:rsid w:val="009C54F7"/>
    <w:rsid w:val="009C6732"/>
    <w:rsid w:val="009C6AAF"/>
    <w:rsid w:val="009C6AB2"/>
    <w:rsid w:val="009C6E99"/>
    <w:rsid w:val="009C718F"/>
    <w:rsid w:val="009C77E3"/>
    <w:rsid w:val="009C798F"/>
    <w:rsid w:val="009C7E9A"/>
    <w:rsid w:val="009D0168"/>
    <w:rsid w:val="009D04D4"/>
    <w:rsid w:val="009D0618"/>
    <w:rsid w:val="009D1A7D"/>
    <w:rsid w:val="009D23C2"/>
    <w:rsid w:val="009D260B"/>
    <w:rsid w:val="009D2D57"/>
    <w:rsid w:val="009D2FEB"/>
    <w:rsid w:val="009D35FA"/>
    <w:rsid w:val="009D3A83"/>
    <w:rsid w:val="009D3B30"/>
    <w:rsid w:val="009D3F26"/>
    <w:rsid w:val="009D3F74"/>
    <w:rsid w:val="009D4171"/>
    <w:rsid w:val="009D4383"/>
    <w:rsid w:val="009D4598"/>
    <w:rsid w:val="009D469E"/>
    <w:rsid w:val="009D4932"/>
    <w:rsid w:val="009D5208"/>
    <w:rsid w:val="009D5274"/>
    <w:rsid w:val="009D528A"/>
    <w:rsid w:val="009D5715"/>
    <w:rsid w:val="009D5F78"/>
    <w:rsid w:val="009D61C1"/>
    <w:rsid w:val="009D70D8"/>
    <w:rsid w:val="009D7A91"/>
    <w:rsid w:val="009D7DB3"/>
    <w:rsid w:val="009D7EAA"/>
    <w:rsid w:val="009D7EF3"/>
    <w:rsid w:val="009E01EA"/>
    <w:rsid w:val="009E0379"/>
    <w:rsid w:val="009E0479"/>
    <w:rsid w:val="009E071E"/>
    <w:rsid w:val="009E090C"/>
    <w:rsid w:val="009E0F3D"/>
    <w:rsid w:val="009E123A"/>
    <w:rsid w:val="009E165F"/>
    <w:rsid w:val="009E1B6E"/>
    <w:rsid w:val="009E1B78"/>
    <w:rsid w:val="009E1CF1"/>
    <w:rsid w:val="009E210A"/>
    <w:rsid w:val="009E29C3"/>
    <w:rsid w:val="009E2ED1"/>
    <w:rsid w:val="009E3030"/>
    <w:rsid w:val="009E3FC4"/>
    <w:rsid w:val="009E40EA"/>
    <w:rsid w:val="009E415C"/>
    <w:rsid w:val="009E4376"/>
    <w:rsid w:val="009E43FF"/>
    <w:rsid w:val="009E5742"/>
    <w:rsid w:val="009E578F"/>
    <w:rsid w:val="009E57FF"/>
    <w:rsid w:val="009E5C04"/>
    <w:rsid w:val="009E6C6A"/>
    <w:rsid w:val="009E7077"/>
    <w:rsid w:val="009E7922"/>
    <w:rsid w:val="009F08CD"/>
    <w:rsid w:val="009F09D5"/>
    <w:rsid w:val="009F1994"/>
    <w:rsid w:val="009F1B4C"/>
    <w:rsid w:val="009F1DA9"/>
    <w:rsid w:val="009F2298"/>
    <w:rsid w:val="009F30F0"/>
    <w:rsid w:val="009F3554"/>
    <w:rsid w:val="009F373A"/>
    <w:rsid w:val="009F39FB"/>
    <w:rsid w:val="009F3B20"/>
    <w:rsid w:val="009F40A4"/>
    <w:rsid w:val="009F412B"/>
    <w:rsid w:val="009F4178"/>
    <w:rsid w:val="009F4862"/>
    <w:rsid w:val="009F4929"/>
    <w:rsid w:val="009F5CEA"/>
    <w:rsid w:val="009F5DCC"/>
    <w:rsid w:val="009F5F35"/>
    <w:rsid w:val="009F600B"/>
    <w:rsid w:val="009F6507"/>
    <w:rsid w:val="009F69E7"/>
    <w:rsid w:val="009F6FE2"/>
    <w:rsid w:val="009F7056"/>
    <w:rsid w:val="009F7585"/>
    <w:rsid w:val="009F7604"/>
    <w:rsid w:val="009F7616"/>
    <w:rsid w:val="009F77C1"/>
    <w:rsid w:val="009F7CE8"/>
    <w:rsid w:val="009F7F80"/>
    <w:rsid w:val="00A006DD"/>
    <w:rsid w:val="00A00ABD"/>
    <w:rsid w:val="00A012FE"/>
    <w:rsid w:val="00A0167B"/>
    <w:rsid w:val="00A01B83"/>
    <w:rsid w:val="00A01B94"/>
    <w:rsid w:val="00A01FAD"/>
    <w:rsid w:val="00A026F9"/>
    <w:rsid w:val="00A02BD3"/>
    <w:rsid w:val="00A030AC"/>
    <w:rsid w:val="00A03A97"/>
    <w:rsid w:val="00A03BC6"/>
    <w:rsid w:val="00A04372"/>
    <w:rsid w:val="00A043F7"/>
    <w:rsid w:val="00A048EE"/>
    <w:rsid w:val="00A04A55"/>
    <w:rsid w:val="00A05098"/>
    <w:rsid w:val="00A050D4"/>
    <w:rsid w:val="00A0530E"/>
    <w:rsid w:val="00A05795"/>
    <w:rsid w:val="00A057B8"/>
    <w:rsid w:val="00A05D14"/>
    <w:rsid w:val="00A05D5A"/>
    <w:rsid w:val="00A05F8E"/>
    <w:rsid w:val="00A063B5"/>
    <w:rsid w:val="00A06772"/>
    <w:rsid w:val="00A07CD9"/>
    <w:rsid w:val="00A07D1D"/>
    <w:rsid w:val="00A07E35"/>
    <w:rsid w:val="00A101F2"/>
    <w:rsid w:val="00A10418"/>
    <w:rsid w:val="00A10611"/>
    <w:rsid w:val="00A10631"/>
    <w:rsid w:val="00A10A8B"/>
    <w:rsid w:val="00A10BD6"/>
    <w:rsid w:val="00A10CC5"/>
    <w:rsid w:val="00A11586"/>
    <w:rsid w:val="00A116BB"/>
    <w:rsid w:val="00A118FD"/>
    <w:rsid w:val="00A11B43"/>
    <w:rsid w:val="00A120EB"/>
    <w:rsid w:val="00A1255B"/>
    <w:rsid w:val="00A13633"/>
    <w:rsid w:val="00A13745"/>
    <w:rsid w:val="00A13863"/>
    <w:rsid w:val="00A140B7"/>
    <w:rsid w:val="00A141C0"/>
    <w:rsid w:val="00A1426C"/>
    <w:rsid w:val="00A143B1"/>
    <w:rsid w:val="00A14F18"/>
    <w:rsid w:val="00A15BB0"/>
    <w:rsid w:val="00A15C23"/>
    <w:rsid w:val="00A1601B"/>
    <w:rsid w:val="00A16497"/>
    <w:rsid w:val="00A164DD"/>
    <w:rsid w:val="00A16BAA"/>
    <w:rsid w:val="00A16C74"/>
    <w:rsid w:val="00A174B2"/>
    <w:rsid w:val="00A17B96"/>
    <w:rsid w:val="00A17C1F"/>
    <w:rsid w:val="00A17D79"/>
    <w:rsid w:val="00A200E8"/>
    <w:rsid w:val="00A21541"/>
    <w:rsid w:val="00A21C07"/>
    <w:rsid w:val="00A2204C"/>
    <w:rsid w:val="00A22221"/>
    <w:rsid w:val="00A222FE"/>
    <w:rsid w:val="00A228CA"/>
    <w:rsid w:val="00A2321C"/>
    <w:rsid w:val="00A23620"/>
    <w:rsid w:val="00A23F8F"/>
    <w:rsid w:val="00A241C2"/>
    <w:rsid w:val="00A244A0"/>
    <w:rsid w:val="00A24BAE"/>
    <w:rsid w:val="00A25164"/>
    <w:rsid w:val="00A253A1"/>
    <w:rsid w:val="00A265DF"/>
    <w:rsid w:val="00A266F8"/>
    <w:rsid w:val="00A26722"/>
    <w:rsid w:val="00A26F89"/>
    <w:rsid w:val="00A2754C"/>
    <w:rsid w:val="00A279BD"/>
    <w:rsid w:val="00A302F6"/>
    <w:rsid w:val="00A3042F"/>
    <w:rsid w:val="00A3097A"/>
    <w:rsid w:val="00A3099F"/>
    <w:rsid w:val="00A30B5C"/>
    <w:rsid w:val="00A31151"/>
    <w:rsid w:val="00A314F8"/>
    <w:rsid w:val="00A32CC5"/>
    <w:rsid w:val="00A32EAA"/>
    <w:rsid w:val="00A3439B"/>
    <w:rsid w:val="00A34C45"/>
    <w:rsid w:val="00A35164"/>
    <w:rsid w:val="00A3577C"/>
    <w:rsid w:val="00A35CF2"/>
    <w:rsid w:val="00A36190"/>
    <w:rsid w:val="00A36594"/>
    <w:rsid w:val="00A36727"/>
    <w:rsid w:val="00A3681C"/>
    <w:rsid w:val="00A370B2"/>
    <w:rsid w:val="00A37382"/>
    <w:rsid w:val="00A402D6"/>
    <w:rsid w:val="00A40344"/>
    <w:rsid w:val="00A41E5C"/>
    <w:rsid w:val="00A41EC8"/>
    <w:rsid w:val="00A41ED6"/>
    <w:rsid w:val="00A41F35"/>
    <w:rsid w:val="00A420F5"/>
    <w:rsid w:val="00A4234B"/>
    <w:rsid w:val="00A426DB"/>
    <w:rsid w:val="00A427C4"/>
    <w:rsid w:val="00A42963"/>
    <w:rsid w:val="00A42C20"/>
    <w:rsid w:val="00A43153"/>
    <w:rsid w:val="00A4390E"/>
    <w:rsid w:val="00A44162"/>
    <w:rsid w:val="00A44338"/>
    <w:rsid w:val="00A44A42"/>
    <w:rsid w:val="00A4509E"/>
    <w:rsid w:val="00A45BD7"/>
    <w:rsid w:val="00A45E13"/>
    <w:rsid w:val="00A45E85"/>
    <w:rsid w:val="00A45F5B"/>
    <w:rsid w:val="00A46895"/>
    <w:rsid w:val="00A46BFB"/>
    <w:rsid w:val="00A46D22"/>
    <w:rsid w:val="00A4781B"/>
    <w:rsid w:val="00A47CEE"/>
    <w:rsid w:val="00A47DDF"/>
    <w:rsid w:val="00A500C4"/>
    <w:rsid w:val="00A510E8"/>
    <w:rsid w:val="00A51C62"/>
    <w:rsid w:val="00A52776"/>
    <w:rsid w:val="00A53193"/>
    <w:rsid w:val="00A5330D"/>
    <w:rsid w:val="00A53465"/>
    <w:rsid w:val="00A5365A"/>
    <w:rsid w:val="00A53B97"/>
    <w:rsid w:val="00A53E3A"/>
    <w:rsid w:val="00A54742"/>
    <w:rsid w:val="00A54AB6"/>
    <w:rsid w:val="00A54D96"/>
    <w:rsid w:val="00A550C4"/>
    <w:rsid w:val="00A554E0"/>
    <w:rsid w:val="00A55813"/>
    <w:rsid w:val="00A55820"/>
    <w:rsid w:val="00A5598E"/>
    <w:rsid w:val="00A55E04"/>
    <w:rsid w:val="00A561C2"/>
    <w:rsid w:val="00A5623F"/>
    <w:rsid w:val="00A563B2"/>
    <w:rsid w:val="00A57090"/>
    <w:rsid w:val="00A57183"/>
    <w:rsid w:val="00A572BB"/>
    <w:rsid w:val="00A57872"/>
    <w:rsid w:val="00A57924"/>
    <w:rsid w:val="00A5793A"/>
    <w:rsid w:val="00A57BE8"/>
    <w:rsid w:val="00A57BF6"/>
    <w:rsid w:val="00A57F72"/>
    <w:rsid w:val="00A60355"/>
    <w:rsid w:val="00A604F8"/>
    <w:rsid w:val="00A612BF"/>
    <w:rsid w:val="00A619C1"/>
    <w:rsid w:val="00A61C97"/>
    <w:rsid w:val="00A62622"/>
    <w:rsid w:val="00A63588"/>
    <w:rsid w:val="00A635B0"/>
    <w:rsid w:val="00A63F27"/>
    <w:rsid w:val="00A6498C"/>
    <w:rsid w:val="00A64A0C"/>
    <w:rsid w:val="00A65EFE"/>
    <w:rsid w:val="00A65FCC"/>
    <w:rsid w:val="00A663B8"/>
    <w:rsid w:val="00A664C3"/>
    <w:rsid w:val="00A66525"/>
    <w:rsid w:val="00A66A09"/>
    <w:rsid w:val="00A66D57"/>
    <w:rsid w:val="00A7008F"/>
    <w:rsid w:val="00A70486"/>
    <w:rsid w:val="00A70528"/>
    <w:rsid w:val="00A70562"/>
    <w:rsid w:val="00A707F4"/>
    <w:rsid w:val="00A7089B"/>
    <w:rsid w:val="00A70AA9"/>
    <w:rsid w:val="00A7105B"/>
    <w:rsid w:val="00A712C8"/>
    <w:rsid w:val="00A712C9"/>
    <w:rsid w:val="00A716C0"/>
    <w:rsid w:val="00A71857"/>
    <w:rsid w:val="00A71C58"/>
    <w:rsid w:val="00A7287F"/>
    <w:rsid w:val="00A72A59"/>
    <w:rsid w:val="00A72DE1"/>
    <w:rsid w:val="00A731C2"/>
    <w:rsid w:val="00A73D48"/>
    <w:rsid w:val="00A743F3"/>
    <w:rsid w:val="00A744FB"/>
    <w:rsid w:val="00A7452B"/>
    <w:rsid w:val="00A7473D"/>
    <w:rsid w:val="00A74D0F"/>
    <w:rsid w:val="00A74DFD"/>
    <w:rsid w:val="00A75776"/>
    <w:rsid w:val="00A75924"/>
    <w:rsid w:val="00A7593E"/>
    <w:rsid w:val="00A75D70"/>
    <w:rsid w:val="00A75E9D"/>
    <w:rsid w:val="00A75EEA"/>
    <w:rsid w:val="00A76084"/>
    <w:rsid w:val="00A76C4F"/>
    <w:rsid w:val="00A77667"/>
    <w:rsid w:val="00A77B92"/>
    <w:rsid w:val="00A77E33"/>
    <w:rsid w:val="00A806AA"/>
    <w:rsid w:val="00A808D6"/>
    <w:rsid w:val="00A80A11"/>
    <w:rsid w:val="00A811BF"/>
    <w:rsid w:val="00A8222E"/>
    <w:rsid w:val="00A82AC7"/>
    <w:rsid w:val="00A82C90"/>
    <w:rsid w:val="00A82DD0"/>
    <w:rsid w:val="00A83ABE"/>
    <w:rsid w:val="00A83FA5"/>
    <w:rsid w:val="00A840C7"/>
    <w:rsid w:val="00A844B4"/>
    <w:rsid w:val="00A844D9"/>
    <w:rsid w:val="00A84762"/>
    <w:rsid w:val="00A85502"/>
    <w:rsid w:val="00A85C06"/>
    <w:rsid w:val="00A86539"/>
    <w:rsid w:val="00A869EA"/>
    <w:rsid w:val="00A86EC2"/>
    <w:rsid w:val="00A86F8B"/>
    <w:rsid w:val="00A872B8"/>
    <w:rsid w:val="00A87D1A"/>
    <w:rsid w:val="00A87E7A"/>
    <w:rsid w:val="00A87F01"/>
    <w:rsid w:val="00A9086D"/>
    <w:rsid w:val="00A90F3C"/>
    <w:rsid w:val="00A916DF"/>
    <w:rsid w:val="00A91849"/>
    <w:rsid w:val="00A91DF7"/>
    <w:rsid w:val="00A91E8C"/>
    <w:rsid w:val="00A921D7"/>
    <w:rsid w:val="00A926F2"/>
    <w:rsid w:val="00A934A5"/>
    <w:rsid w:val="00A939B6"/>
    <w:rsid w:val="00A93B9D"/>
    <w:rsid w:val="00A93D21"/>
    <w:rsid w:val="00A93E04"/>
    <w:rsid w:val="00A93E71"/>
    <w:rsid w:val="00A945FC"/>
    <w:rsid w:val="00A94901"/>
    <w:rsid w:val="00A94D07"/>
    <w:rsid w:val="00A95548"/>
    <w:rsid w:val="00A957A7"/>
    <w:rsid w:val="00A95C9E"/>
    <w:rsid w:val="00A95FBA"/>
    <w:rsid w:val="00A9680C"/>
    <w:rsid w:val="00A96A2A"/>
    <w:rsid w:val="00A96EAD"/>
    <w:rsid w:val="00A96EDC"/>
    <w:rsid w:val="00A97344"/>
    <w:rsid w:val="00A97D63"/>
    <w:rsid w:val="00A97EEF"/>
    <w:rsid w:val="00A97F18"/>
    <w:rsid w:val="00AA048F"/>
    <w:rsid w:val="00AA0F2E"/>
    <w:rsid w:val="00AA11DE"/>
    <w:rsid w:val="00AA1892"/>
    <w:rsid w:val="00AA18A1"/>
    <w:rsid w:val="00AA1C0F"/>
    <w:rsid w:val="00AA1D90"/>
    <w:rsid w:val="00AA2881"/>
    <w:rsid w:val="00AA2A51"/>
    <w:rsid w:val="00AA3903"/>
    <w:rsid w:val="00AA39D4"/>
    <w:rsid w:val="00AA3C0A"/>
    <w:rsid w:val="00AA3CED"/>
    <w:rsid w:val="00AA3F3B"/>
    <w:rsid w:val="00AA431A"/>
    <w:rsid w:val="00AA45AD"/>
    <w:rsid w:val="00AA45E6"/>
    <w:rsid w:val="00AA4D81"/>
    <w:rsid w:val="00AA4DD7"/>
    <w:rsid w:val="00AA5143"/>
    <w:rsid w:val="00AA5426"/>
    <w:rsid w:val="00AA551F"/>
    <w:rsid w:val="00AA6838"/>
    <w:rsid w:val="00AA6DB7"/>
    <w:rsid w:val="00AA6E0B"/>
    <w:rsid w:val="00AA6FE3"/>
    <w:rsid w:val="00AA7471"/>
    <w:rsid w:val="00AA7DEC"/>
    <w:rsid w:val="00AA7ECA"/>
    <w:rsid w:val="00AB050B"/>
    <w:rsid w:val="00AB0754"/>
    <w:rsid w:val="00AB0C88"/>
    <w:rsid w:val="00AB1237"/>
    <w:rsid w:val="00AB1365"/>
    <w:rsid w:val="00AB2535"/>
    <w:rsid w:val="00AB25BE"/>
    <w:rsid w:val="00AB2F82"/>
    <w:rsid w:val="00AB3250"/>
    <w:rsid w:val="00AB3A35"/>
    <w:rsid w:val="00AB3AD9"/>
    <w:rsid w:val="00AB5908"/>
    <w:rsid w:val="00AB59A6"/>
    <w:rsid w:val="00AB59E7"/>
    <w:rsid w:val="00AB5C29"/>
    <w:rsid w:val="00AB5FDE"/>
    <w:rsid w:val="00AB6582"/>
    <w:rsid w:val="00AB6C7F"/>
    <w:rsid w:val="00AB6CA5"/>
    <w:rsid w:val="00AB6EFB"/>
    <w:rsid w:val="00AB794B"/>
    <w:rsid w:val="00AB7E23"/>
    <w:rsid w:val="00AB7EC3"/>
    <w:rsid w:val="00AC0045"/>
    <w:rsid w:val="00AC0369"/>
    <w:rsid w:val="00AC037A"/>
    <w:rsid w:val="00AC04D8"/>
    <w:rsid w:val="00AC0E90"/>
    <w:rsid w:val="00AC0ED6"/>
    <w:rsid w:val="00AC1F01"/>
    <w:rsid w:val="00AC2163"/>
    <w:rsid w:val="00AC2265"/>
    <w:rsid w:val="00AC2284"/>
    <w:rsid w:val="00AC229D"/>
    <w:rsid w:val="00AC276F"/>
    <w:rsid w:val="00AC28B2"/>
    <w:rsid w:val="00AC291F"/>
    <w:rsid w:val="00AC297E"/>
    <w:rsid w:val="00AC3C5A"/>
    <w:rsid w:val="00AC3CA6"/>
    <w:rsid w:val="00AC3D0E"/>
    <w:rsid w:val="00AC409C"/>
    <w:rsid w:val="00AC46B9"/>
    <w:rsid w:val="00AC4B96"/>
    <w:rsid w:val="00AC5A74"/>
    <w:rsid w:val="00AC5BCE"/>
    <w:rsid w:val="00AC63B7"/>
    <w:rsid w:val="00AC67CE"/>
    <w:rsid w:val="00AC6D46"/>
    <w:rsid w:val="00AC7135"/>
    <w:rsid w:val="00AC737E"/>
    <w:rsid w:val="00AC77A6"/>
    <w:rsid w:val="00AC7DD1"/>
    <w:rsid w:val="00AC7E5A"/>
    <w:rsid w:val="00AC7F9E"/>
    <w:rsid w:val="00AD0646"/>
    <w:rsid w:val="00AD0C33"/>
    <w:rsid w:val="00AD0CC4"/>
    <w:rsid w:val="00AD1A0C"/>
    <w:rsid w:val="00AD1FF4"/>
    <w:rsid w:val="00AD3451"/>
    <w:rsid w:val="00AD3464"/>
    <w:rsid w:val="00AD398B"/>
    <w:rsid w:val="00AD3EB1"/>
    <w:rsid w:val="00AD3F40"/>
    <w:rsid w:val="00AD4001"/>
    <w:rsid w:val="00AD4845"/>
    <w:rsid w:val="00AD4EE6"/>
    <w:rsid w:val="00AD5628"/>
    <w:rsid w:val="00AD574E"/>
    <w:rsid w:val="00AD6759"/>
    <w:rsid w:val="00AD6848"/>
    <w:rsid w:val="00AD6DE7"/>
    <w:rsid w:val="00AD77D9"/>
    <w:rsid w:val="00AD788B"/>
    <w:rsid w:val="00AD7A6D"/>
    <w:rsid w:val="00AD7C2A"/>
    <w:rsid w:val="00AE03D5"/>
    <w:rsid w:val="00AE0CB2"/>
    <w:rsid w:val="00AE1773"/>
    <w:rsid w:val="00AE1D7D"/>
    <w:rsid w:val="00AE2306"/>
    <w:rsid w:val="00AE2DCA"/>
    <w:rsid w:val="00AE2FFE"/>
    <w:rsid w:val="00AE3B88"/>
    <w:rsid w:val="00AE40A3"/>
    <w:rsid w:val="00AE4142"/>
    <w:rsid w:val="00AE4838"/>
    <w:rsid w:val="00AE4F1B"/>
    <w:rsid w:val="00AE4FBE"/>
    <w:rsid w:val="00AE5096"/>
    <w:rsid w:val="00AE5435"/>
    <w:rsid w:val="00AE5BE9"/>
    <w:rsid w:val="00AE6A4D"/>
    <w:rsid w:val="00AE6D7B"/>
    <w:rsid w:val="00AE6DDF"/>
    <w:rsid w:val="00AF0032"/>
    <w:rsid w:val="00AF13E9"/>
    <w:rsid w:val="00AF177C"/>
    <w:rsid w:val="00AF1CC5"/>
    <w:rsid w:val="00AF201D"/>
    <w:rsid w:val="00AF25DB"/>
    <w:rsid w:val="00AF2BFD"/>
    <w:rsid w:val="00AF3426"/>
    <w:rsid w:val="00AF393D"/>
    <w:rsid w:val="00AF3DDE"/>
    <w:rsid w:val="00AF473C"/>
    <w:rsid w:val="00AF480E"/>
    <w:rsid w:val="00AF4F2C"/>
    <w:rsid w:val="00AF5151"/>
    <w:rsid w:val="00AF5670"/>
    <w:rsid w:val="00AF5A87"/>
    <w:rsid w:val="00AF5C6A"/>
    <w:rsid w:val="00AF5C6D"/>
    <w:rsid w:val="00AF60B9"/>
    <w:rsid w:val="00AF613E"/>
    <w:rsid w:val="00AF61B6"/>
    <w:rsid w:val="00AF6903"/>
    <w:rsid w:val="00AF697A"/>
    <w:rsid w:val="00AF72FC"/>
    <w:rsid w:val="00AF75D5"/>
    <w:rsid w:val="00AF76AC"/>
    <w:rsid w:val="00AF7C2D"/>
    <w:rsid w:val="00AF7E9C"/>
    <w:rsid w:val="00B00B28"/>
    <w:rsid w:val="00B00F1B"/>
    <w:rsid w:val="00B018C5"/>
    <w:rsid w:val="00B0238D"/>
    <w:rsid w:val="00B0276D"/>
    <w:rsid w:val="00B02973"/>
    <w:rsid w:val="00B031A1"/>
    <w:rsid w:val="00B03A5C"/>
    <w:rsid w:val="00B03D1B"/>
    <w:rsid w:val="00B0403D"/>
    <w:rsid w:val="00B04DDA"/>
    <w:rsid w:val="00B06363"/>
    <w:rsid w:val="00B06B4A"/>
    <w:rsid w:val="00B073B4"/>
    <w:rsid w:val="00B0740A"/>
    <w:rsid w:val="00B07571"/>
    <w:rsid w:val="00B07693"/>
    <w:rsid w:val="00B076A4"/>
    <w:rsid w:val="00B0795F"/>
    <w:rsid w:val="00B1011B"/>
    <w:rsid w:val="00B107D3"/>
    <w:rsid w:val="00B11E3F"/>
    <w:rsid w:val="00B1200C"/>
    <w:rsid w:val="00B1250C"/>
    <w:rsid w:val="00B12A63"/>
    <w:rsid w:val="00B12C21"/>
    <w:rsid w:val="00B12CCE"/>
    <w:rsid w:val="00B12D85"/>
    <w:rsid w:val="00B12F6F"/>
    <w:rsid w:val="00B13A9C"/>
    <w:rsid w:val="00B13AD4"/>
    <w:rsid w:val="00B1483A"/>
    <w:rsid w:val="00B1497F"/>
    <w:rsid w:val="00B14BEF"/>
    <w:rsid w:val="00B1568E"/>
    <w:rsid w:val="00B15B29"/>
    <w:rsid w:val="00B15B42"/>
    <w:rsid w:val="00B15DCC"/>
    <w:rsid w:val="00B160C7"/>
    <w:rsid w:val="00B166B0"/>
    <w:rsid w:val="00B16857"/>
    <w:rsid w:val="00B16C77"/>
    <w:rsid w:val="00B16E62"/>
    <w:rsid w:val="00B17C0C"/>
    <w:rsid w:val="00B20DC4"/>
    <w:rsid w:val="00B21A4A"/>
    <w:rsid w:val="00B21A4B"/>
    <w:rsid w:val="00B22864"/>
    <w:rsid w:val="00B22A53"/>
    <w:rsid w:val="00B22C2B"/>
    <w:rsid w:val="00B234B5"/>
    <w:rsid w:val="00B234C9"/>
    <w:rsid w:val="00B23F8B"/>
    <w:rsid w:val="00B24069"/>
    <w:rsid w:val="00B24343"/>
    <w:rsid w:val="00B246E4"/>
    <w:rsid w:val="00B255A9"/>
    <w:rsid w:val="00B25776"/>
    <w:rsid w:val="00B25978"/>
    <w:rsid w:val="00B259F2"/>
    <w:rsid w:val="00B2612D"/>
    <w:rsid w:val="00B263C9"/>
    <w:rsid w:val="00B26443"/>
    <w:rsid w:val="00B27303"/>
    <w:rsid w:val="00B276A0"/>
    <w:rsid w:val="00B30033"/>
    <w:rsid w:val="00B30820"/>
    <w:rsid w:val="00B30E94"/>
    <w:rsid w:val="00B311F7"/>
    <w:rsid w:val="00B3125A"/>
    <w:rsid w:val="00B31AD7"/>
    <w:rsid w:val="00B31BF6"/>
    <w:rsid w:val="00B3216F"/>
    <w:rsid w:val="00B32245"/>
    <w:rsid w:val="00B322E0"/>
    <w:rsid w:val="00B3296F"/>
    <w:rsid w:val="00B33046"/>
    <w:rsid w:val="00B330C3"/>
    <w:rsid w:val="00B33599"/>
    <w:rsid w:val="00B34041"/>
    <w:rsid w:val="00B342E5"/>
    <w:rsid w:val="00B343E9"/>
    <w:rsid w:val="00B34926"/>
    <w:rsid w:val="00B34DC9"/>
    <w:rsid w:val="00B34DDB"/>
    <w:rsid w:val="00B355A2"/>
    <w:rsid w:val="00B35825"/>
    <w:rsid w:val="00B35DF9"/>
    <w:rsid w:val="00B366F3"/>
    <w:rsid w:val="00B367F0"/>
    <w:rsid w:val="00B36C71"/>
    <w:rsid w:val="00B375BF"/>
    <w:rsid w:val="00B37E31"/>
    <w:rsid w:val="00B40080"/>
    <w:rsid w:val="00B4023D"/>
    <w:rsid w:val="00B40470"/>
    <w:rsid w:val="00B4048B"/>
    <w:rsid w:val="00B40999"/>
    <w:rsid w:val="00B40A4D"/>
    <w:rsid w:val="00B40E8E"/>
    <w:rsid w:val="00B41480"/>
    <w:rsid w:val="00B42215"/>
    <w:rsid w:val="00B42687"/>
    <w:rsid w:val="00B428C5"/>
    <w:rsid w:val="00B430F0"/>
    <w:rsid w:val="00B4319E"/>
    <w:rsid w:val="00B43DB4"/>
    <w:rsid w:val="00B4405F"/>
    <w:rsid w:val="00B441B9"/>
    <w:rsid w:val="00B442A6"/>
    <w:rsid w:val="00B446B6"/>
    <w:rsid w:val="00B44888"/>
    <w:rsid w:val="00B45BA7"/>
    <w:rsid w:val="00B45EAA"/>
    <w:rsid w:val="00B463DA"/>
    <w:rsid w:val="00B46475"/>
    <w:rsid w:val="00B46CD8"/>
    <w:rsid w:val="00B4725D"/>
    <w:rsid w:val="00B476F8"/>
    <w:rsid w:val="00B478CD"/>
    <w:rsid w:val="00B47F59"/>
    <w:rsid w:val="00B50B46"/>
    <w:rsid w:val="00B50B9E"/>
    <w:rsid w:val="00B510DC"/>
    <w:rsid w:val="00B51EBE"/>
    <w:rsid w:val="00B53416"/>
    <w:rsid w:val="00B534DA"/>
    <w:rsid w:val="00B5387B"/>
    <w:rsid w:val="00B538A8"/>
    <w:rsid w:val="00B54114"/>
    <w:rsid w:val="00B54BFA"/>
    <w:rsid w:val="00B54D17"/>
    <w:rsid w:val="00B54E6C"/>
    <w:rsid w:val="00B54EEC"/>
    <w:rsid w:val="00B55229"/>
    <w:rsid w:val="00B557FB"/>
    <w:rsid w:val="00B5586B"/>
    <w:rsid w:val="00B55941"/>
    <w:rsid w:val="00B55A21"/>
    <w:rsid w:val="00B55F77"/>
    <w:rsid w:val="00B56307"/>
    <w:rsid w:val="00B5636A"/>
    <w:rsid w:val="00B564B4"/>
    <w:rsid w:val="00B565DE"/>
    <w:rsid w:val="00B56DAB"/>
    <w:rsid w:val="00B57685"/>
    <w:rsid w:val="00B5787D"/>
    <w:rsid w:val="00B57B09"/>
    <w:rsid w:val="00B57BC3"/>
    <w:rsid w:val="00B57EFF"/>
    <w:rsid w:val="00B6054D"/>
    <w:rsid w:val="00B6056A"/>
    <w:rsid w:val="00B60F83"/>
    <w:rsid w:val="00B619E4"/>
    <w:rsid w:val="00B61C3D"/>
    <w:rsid w:val="00B61D7A"/>
    <w:rsid w:val="00B6216F"/>
    <w:rsid w:val="00B62740"/>
    <w:rsid w:val="00B62CBA"/>
    <w:rsid w:val="00B62EF4"/>
    <w:rsid w:val="00B63627"/>
    <w:rsid w:val="00B636E5"/>
    <w:rsid w:val="00B637D7"/>
    <w:rsid w:val="00B639AF"/>
    <w:rsid w:val="00B64780"/>
    <w:rsid w:val="00B64A1B"/>
    <w:rsid w:val="00B64D03"/>
    <w:rsid w:val="00B6511A"/>
    <w:rsid w:val="00B6546F"/>
    <w:rsid w:val="00B65816"/>
    <w:rsid w:val="00B658F5"/>
    <w:rsid w:val="00B66309"/>
    <w:rsid w:val="00B66561"/>
    <w:rsid w:val="00B67339"/>
    <w:rsid w:val="00B67806"/>
    <w:rsid w:val="00B67C0E"/>
    <w:rsid w:val="00B67F9F"/>
    <w:rsid w:val="00B70761"/>
    <w:rsid w:val="00B70864"/>
    <w:rsid w:val="00B70A81"/>
    <w:rsid w:val="00B7125E"/>
    <w:rsid w:val="00B7142D"/>
    <w:rsid w:val="00B720A4"/>
    <w:rsid w:val="00B72760"/>
    <w:rsid w:val="00B72B86"/>
    <w:rsid w:val="00B73174"/>
    <w:rsid w:val="00B73727"/>
    <w:rsid w:val="00B73EDE"/>
    <w:rsid w:val="00B74B3B"/>
    <w:rsid w:val="00B74C7B"/>
    <w:rsid w:val="00B75092"/>
    <w:rsid w:val="00B75180"/>
    <w:rsid w:val="00B75309"/>
    <w:rsid w:val="00B755EA"/>
    <w:rsid w:val="00B75995"/>
    <w:rsid w:val="00B7677E"/>
    <w:rsid w:val="00B767F5"/>
    <w:rsid w:val="00B76AF9"/>
    <w:rsid w:val="00B76BA6"/>
    <w:rsid w:val="00B76C85"/>
    <w:rsid w:val="00B7757A"/>
    <w:rsid w:val="00B77EA8"/>
    <w:rsid w:val="00B80067"/>
    <w:rsid w:val="00B8092C"/>
    <w:rsid w:val="00B816C5"/>
    <w:rsid w:val="00B81AD5"/>
    <w:rsid w:val="00B81FC7"/>
    <w:rsid w:val="00B8211A"/>
    <w:rsid w:val="00B82336"/>
    <w:rsid w:val="00B8245E"/>
    <w:rsid w:val="00B82814"/>
    <w:rsid w:val="00B828DC"/>
    <w:rsid w:val="00B82B84"/>
    <w:rsid w:val="00B82BFA"/>
    <w:rsid w:val="00B82FAE"/>
    <w:rsid w:val="00B83D28"/>
    <w:rsid w:val="00B8479E"/>
    <w:rsid w:val="00B84902"/>
    <w:rsid w:val="00B852A2"/>
    <w:rsid w:val="00B8541C"/>
    <w:rsid w:val="00B85481"/>
    <w:rsid w:val="00B855E0"/>
    <w:rsid w:val="00B8587E"/>
    <w:rsid w:val="00B86572"/>
    <w:rsid w:val="00B86683"/>
    <w:rsid w:val="00B869FC"/>
    <w:rsid w:val="00B86A01"/>
    <w:rsid w:val="00B86A93"/>
    <w:rsid w:val="00B86B0F"/>
    <w:rsid w:val="00B87193"/>
    <w:rsid w:val="00B874C6"/>
    <w:rsid w:val="00B908DC"/>
    <w:rsid w:val="00B9190C"/>
    <w:rsid w:val="00B9191F"/>
    <w:rsid w:val="00B91AC5"/>
    <w:rsid w:val="00B92F97"/>
    <w:rsid w:val="00B9308C"/>
    <w:rsid w:val="00B94136"/>
    <w:rsid w:val="00B945B1"/>
    <w:rsid w:val="00B94ACF"/>
    <w:rsid w:val="00B95978"/>
    <w:rsid w:val="00B961D1"/>
    <w:rsid w:val="00B96212"/>
    <w:rsid w:val="00B96581"/>
    <w:rsid w:val="00B96A2C"/>
    <w:rsid w:val="00B96BE7"/>
    <w:rsid w:val="00B96E9A"/>
    <w:rsid w:val="00B96F90"/>
    <w:rsid w:val="00B96FCB"/>
    <w:rsid w:val="00B9734A"/>
    <w:rsid w:val="00B9780A"/>
    <w:rsid w:val="00B97A4C"/>
    <w:rsid w:val="00B97AEC"/>
    <w:rsid w:val="00B97BA3"/>
    <w:rsid w:val="00B97C79"/>
    <w:rsid w:val="00B97EB8"/>
    <w:rsid w:val="00B97ECD"/>
    <w:rsid w:val="00B97F2E"/>
    <w:rsid w:val="00BA0D26"/>
    <w:rsid w:val="00BA0FF7"/>
    <w:rsid w:val="00BA1405"/>
    <w:rsid w:val="00BA2BB7"/>
    <w:rsid w:val="00BA2C37"/>
    <w:rsid w:val="00BA2FF5"/>
    <w:rsid w:val="00BA32AA"/>
    <w:rsid w:val="00BA36D1"/>
    <w:rsid w:val="00BA38E5"/>
    <w:rsid w:val="00BA4157"/>
    <w:rsid w:val="00BA4B55"/>
    <w:rsid w:val="00BA4C40"/>
    <w:rsid w:val="00BA557E"/>
    <w:rsid w:val="00BA564B"/>
    <w:rsid w:val="00BA5F16"/>
    <w:rsid w:val="00BA5FC0"/>
    <w:rsid w:val="00BA62C7"/>
    <w:rsid w:val="00BA69FF"/>
    <w:rsid w:val="00BA71D4"/>
    <w:rsid w:val="00BA75FB"/>
    <w:rsid w:val="00BA767A"/>
    <w:rsid w:val="00BA7C96"/>
    <w:rsid w:val="00BA7F7C"/>
    <w:rsid w:val="00BB2331"/>
    <w:rsid w:val="00BB262C"/>
    <w:rsid w:val="00BB2853"/>
    <w:rsid w:val="00BB3DD8"/>
    <w:rsid w:val="00BB4971"/>
    <w:rsid w:val="00BB4A21"/>
    <w:rsid w:val="00BB4EF0"/>
    <w:rsid w:val="00BB5E68"/>
    <w:rsid w:val="00BB5EC8"/>
    <w:rsid w:val="00BB607F"/>
    <w:rsid w:val="00BB613A"/>
    <w:rsid w:val="00BB65DE"/>
    <w:rsid w:val="00BB6635"/>
    <w:rsid w:val="00BB6798"/>
    <w:rsid w:val="00BB67C6"/>
    <w:rsid w:val="00BB71E0"/>
    <w:rsid w:val="00BB790D"/>
    <w:rsid w:val="00BB79D0"/>
    <w:rsid w:val="00BB7C74"/>
    <w:rsid w:val="00BB7C94"/>
    <w:rsid w:val="00BB7F93"/>
    <w:rsid w:val="00BC0486"/>
    <w:rsid w:val="00BC0863"/>
    <w:rsid w:val="00BC0953"/>
    <w:rsid w:val="00BC13FD"/>
    <w:rsid w:val="00BC19FD"/>
    <w:rsid w:val="00BC1A99"/>
    <w:rsid w:val="00BC2099"/>
    <w:rsid w:val="00BC23E6"/>
    <w:rsid w:val="00BC3116"/>
    <w:rsid w:val="00BC4105"/>
    <w:rsid w:val="00BC4778"/>
    <w:rsid w:val="00BC4A39"/>
    <w:rsid w:val="00BC4B45"/>
    <w:rsid w:val="00BC50DF"/>
    <w:rsid w:val="00BC5A36"/>
    <w:rsid w:val="00BC5BF1"/>
    <w:rsid w:val="00BC6481"/>
    <w:rsid w:val="00BC65D5"/>
    <w:rsid w:val="00BC65F8"/>
    <w:rsid w:val="00BC6CB0"/>
    <w:rsid w:val="00BC6DC7"/>
    <w:rsid w:val="00BC6EBE"/>
    <w:rsid w:val="00BC725E"/>
    <w:rsid w:val="00BD0620"/>
    <w:rsid w:val="00BD063F"/>
    <w:rsid w:val="00BD08FC"/>
    <w:rsid w:val="00BD0EF7"/>
    <w:rsid w:val="00BD1157"/>
    <w:rsid w:val="00BD11DA"/>
    <w:rsid w:val="00BD12CE"/>
    <w:rsid w:val="00BD1402"/>
    <w:rsid w:val="00BD14BE"/>
    <w:rsid w:val="00BD1998"/>
    <w:rsid w:val="00BD1A3A"/>
    <w:rsid w:val="00BD1A57"/>
    <w:rsid w:val="00BD2154"/>
    <w:rsid w:val="00BD2769"/>
    <w:rsid w:val="00BD27CC"/>
    <w:rsid w:val="00BD3012"/>
    <w:rsid w:val="00BD3083"/>
    <w:rsid w:val="00BD36E7"/>
    <w:rsid w:val="00BD3908"/>
    <w:rsid w:val="00BD3A6D"/>
    <w:rsid w:val="00BD3AE8"/>
    <w:rsid w:val="00BD3FC5"/>
    <w:rsid w:val="00BD40E8"/>
    <w:rsid w:val="00BD4227"/>
    <w:rsid w:val="00BD49CA"/>
    <w:rsid w:val="00BD4B84"/>
    <w:rsid w:val="00BD501E"/>
    <w:rsid w:val="00BD5252"/>
    <w:rsid w:val="00BD571D"/>
    <w:rsid w:val="00BD5A62"/>
    <w:rsid w:val="00BD5C87"/>
    <w:rsid w:val="00BD60E3"/>
    <w:rsid w:val="00BD6539"/>
    <w:rsid w:val="00BD6A72"/>
    <w:rsid w:val="00BD6A9C"/>
    <w:rsid w:val="00BD709A"/>
    <w:rsid w:val="00BD776C"/>
    <w:rsid w:val="00BD7EE7"/>
    <w:rsid w:val="00BE062F"/>
    <w:rsid w:val="00BE0803"/>
    <w:rsid w:val="00BE0F28"/>
    <w:rsid w:val="00BE1180"/>
    <w:rsid w:val="00BE12EB"/>
    <w:rsid w:val="00BE145D"/>
    <w:rsid w:val="00BE19A8"/>
    <w:rsid w:val="00BE1E6D"/>
    <w:rsid w:val="00BE2438"/>
    <w:rsid w:val="00BE274E"/>
    <w:rsid w:val="00BE2E65"/>
    <w:rsid w:val="00BE4AEC"/>
    <w:rsid w:val="00BE4C6B"/>
    <w:rsid w:val="00BE5209"/>
    <w:rsid w:val="00BE53D7"/>
    <w:rsid w:val="00BE560B"/>
    <w:rsid w:val="00BE58C4"/>
    <w:rsid w:val="00BE5C6A"/>
    <w:rsid w:val="00BE62BC"/>
    <w:rsid w:val="00BE67F1"/>
    <w:rsid w:val="00BE68EC"/>
    <w:rsid w:val="00BE6B31"/>
    <w:rsid w:val="00BE6C34"/>
    <w:rsid w:val="00BE7480"/>
    <w:rsid w:val="00BE75B5"/>
    <w:rsid w:val="00BE76F0"/>
    <w:rsid w:val="00BE7A7B"/>
    <w:rsid w:val="00BE7CBB"/>
    <w:rsid w:val="00BF05E6"/>
    <w:rsid w:val="00BF1F74"/>
    <w:rsid w:val="00BF226A"/>
    <w:rsid w:val="00BF2629"/>
    <w:rsid w:val="00BF2B4C"/>
    <w:rsid w:val="00BF344A"/>
    <w:rsid w:val="00BF351D"/>
    <w:rsid w:val="00BF46B2"/>
    <w:rsid w:val="00BF48AA"/>
    <w:rsid w:val="00BF49DB"/>
    <w:rsid w:val="00BF4AE8"/>
    <w:rsid w:val="00BF4C39"/>
    <w:rsid w:val="00BF56B8"/>
    <w:rsid w:val="00BF5993"/>
    <w:rsid w:val="00BF5AD9"/>
    <w:rsid w:val="00BF6262"/>
    <w:rsid w:val="00BF6B1D"/>
    <w:rsid w:val="00BF6F8C"/>
    <w:rsid w:val="00BF719B"/>
    <w:rsid w:val="00BF7638"/>
    <w:rsid w:val="00BF7BCB"/>
    <w:rsid w:val="00BF7E76"/>
    <w:rsid w:val="00BF7F8C"/>
    <w:rsid w:val="00C00117"/>
    <w:rsid w:val="00C001F3"/>
    <w:rsid w:val="00C00432"/>
    <w:rsid w:val="00C005DE"/>
    <w:rsid w:val="00C0071E"/>
    <w:rsid w:val="00C00723"/>
    <w:rsid w:val="00C00783"/>
    <w:rsid w:val="00C009B9"/>
    <w:rsid w:val="00C00B75"/>
    <w:rsid w:val="00C00B94"/>
    <w:rsid w:val="00C00C2F"/>
    <w:rsid w:val="00C00FAB"/>
    <w:rsid w:val="00C01CE7"/>
    <w:rsid w:val="00C01D0A"/>
    <w:rsid w:val="00C01DEF"/>
    <w:rsid w:val="00C01EC7"/>
    <w:rsid w:val="00C02A12"/>
    <w:rsid w:val="00C02DBB"/>
    <w:rsid w:val="00C02F67"/>
    <w:rsid w:val="00C0367D"/>
    <w:rsid w:val="00C038C4"/>
    <w:rsid w:val="00C03B84"/>
    <w:rsid w:val="00C04299"/>
    <w:rsid w:val="00C04412"/>
    <w:rsid w:val="00C048F0"/>
    <w:rsid w:val="00C057BC"/>
    <w:rsid w:val="00C05C97"/>
    <w:rsid w:val="00C05DF2"/>
    <w:rsid w:val="00C060D5"/>
    <w:rsid w:val="00C062D2"/>
    <w:rsid w:val="00C06884"/>
    <w:rsid w:val="00C0710E"/>
    <w:rsid w:val="00C073B2"/>
    <w:rsid w:val="00C0771D"/>
    <w:rsid w:val="00C07939"/>
    <w:rsid w:val="00C07BF5"/>
    <w:rsid w:val="00C07CB4"/>
    <w:rsid w:val="00C07DA9"/>
    <w:rsid w:val="00C10FD3"/>
    <w:rsid w:val="00C11566"/>
    <w:rsid w:val="00C11AEE"/>
    <w:rsid w:val="00C11D9B"/>
    <w:rsid w:val="00C11E24"/>
    <w:rsid w:val="00C12328"/>
    <w:rsid w:val="00C124CF"/>
    <w:rsid w:val="00C127D3"/>
    <w:rsid w:val="00C128D3"/>
    <w:rsid w:val="00C13460"/>
    <w:rsid w:val="00C136CF"/>
    <w:rsid w:val="00C13A68"/>
    <w:rsid w:val="00C13B84"/>
    <w:rsid w:val="00C13F74"/>
    <w:rsid w:val="00C14073"/>
    <w:rsid w:val="00C14377"/>
    <w:rsid w:val="00C14E3C"/>
    <w:rsid w:val="00C15096"/>
    <w:rsid w:val="00C15232"/>
    <w:rsid w:val="00C1537D"/>
    <w:rsid w:val="00C15740"/>
    <w:rsid w:val="00C15BFD"/>
    <w:rsid w:val="00C15F57"/>
    <w:rsid w:val="00C1653B"/>
    <w:rsid w:val="00C1693F"/>
    <w:rsid w:val="00C16CCB"/>
    <w:rsid w:val="00C17901"/>
    <w:rsid w:val="00C17A47"/>
    <w:rsid w:val="00C17E03"/>
    <w:rsid w:val="00C2080F"/>
    <w:rsid w:val="00C2126E"/>
    <w:rsid w:val="00C21651"/>
    <w:rsid w:val="00C21B1F"/>
    <w:rsid w:val="00C226C0"/>
    <w:rsid w:val="00C229AB"/>
    <w:rsid w:val="00C22D8C"/>
    <w:rsid w:val="00C22DB0"/>
    <w:rsid w:val="00C23049"/>
    <w:rsid w:val="00C23148"/>
    <w:rsid w:val="00C239A6"/>
    <w:rsid w:val="00C23A99"/>
    <w:rsid w:val="00C243AC"/>
    <w:rsid w:val="00C24561"/>
    <w:rsid w:val="00C247DA"/>
    <w:rsid w:val="00C25780"/>
    <w:rsid w:val="00C25DD8"/>
    <w:rsid w:val="00C25F92"/>
    <w:rsid w:val="00C25FA6"/>
    <w:rsid w:val="00C261B5"/>
    <w:rsid w:val="00C264F0"/>
    <w:rsid w:val="00C26536"/>
    <w:rsid w:val="00C26741"/>
    <w:rsid w:val="00C27034"/>
    <w:rsid w:val="00C273FC"/>
    <w:rsid w:val="00C2779E"/>
    <w:rsid w:val="00C27877"/>
    <w:rsid w:val="00C27962"/>
    <w:rsid w:val="00C27A97"/>
    <w:rsid w:val="00C30239"/>
    <w:rsid w:val="00C30858"/>
    <w:rsid w:val="00C30A6E"/>
    <w:rsid w:val="00C30F38"/>
    <w:rsid w:val="00C30F54"/>
    <w:rsid w:val="00C3116D"/>
    <w:rsid w:val="00C31643"/>
    <w:rsid w:val="00C31B66"/>
    <w:rsid w:val="00C32714"/>
    <w:rsid w:val="00C32D05"/>
    <w:rsid w:val="00C3314A"/>
    <w:rsid w:val="00C33151"/>
    <w:rsid w:val="00C33814"/>
    <w:rsid w:val="00C33927"/>
    <w:rsid w:val="00C33E6D"/>
    <w:rsid w:val="00C34637"/>
    <w:rsid w:val="00C34941"/>
    <w:rsid w:val="00C34DC1"/>
    <w:rsid w:val="00C35EE4"/>
    <w:rsid w:val="00C360C8"/>
    <w:rsid w:val="00C36768"/>
    <w:rsid w:val="00C36BEB"/>
    <w:rsid w:val="00C372D4"/>
    <w:rsid w:val="00C373C2"/>
    <w:rsid w:val="00C37446"/>
    <w:rsid w:val="00C37480"/>
    <w:rsid w:val="00C37DDD"/>
    <w:rsid w:val="00C40212"/>
    <w:rsid w:val="00C40641"/>
    <w:rsid w:val="00C40A79"/>
    <w:rsid w:val="00C40BBD"/>
    <w:rsid w:val="00C423B1"/>
    <w:rsid w:val="00C428EE"/>
    <w:rsid w:val="00C42B8B"/>
    <w:rsid w:val="00C42D41"/>
    <w:rsid w:val="00C4388F"/>
    <w:rsid w:val="00C4393B"/>
    <w:rsid w:val="00C44036"/>
    <w:rsid w:val="00C44B7E"/>
    <w:rsid w:val="00C44CC3"/>
    <w:rsid w:val="00C44CFD"/>
    <w:rsid w:val="00C44DAB"/>
    <w:rsid w:val="00C44FCE"/>
    <w:rsid w:val="00C45055"/>
    <w:rsid w:val="00C452A9"/>
    <w:rsid w:val="00C4536D"/>
    <w:rsid w:val="00C45411"/>
    <w:rsid w:val="00C4542A"/>
    <w:rsid w:val="00C458D5"/>
    <w:rsid w:val="00C45FD4"/>
    <w:rsid w:val="00C4627D"/>
    <w:rsid w:val="00C4642E"/>
    <w:rsid w:val="00C4697F"/>
    <w:rsid w:val="00C46A2C"/>
    <w:rsid w:val="00C46F53"/>
    <w:rsid w:val="00C4707D"/>
    <w:rsid w:val="00C472A2"/>
    <w:rsid w:val="00C47554"/>
    <w:rsid w:val="00C47D64"/>
    <w:rsid w:val="00C47EEC"/>
    <w:rsid w:val="00C506B0"/>
    <w:rsid w:val="00C50BB1"/>
    <w:rsid w:val="00C50C46"/>
    <w:rsid w:val="00C50DDA"/>
    <w:rsid w:val="00C51428"/>
    <w:rsid w:val="00C519AD"/>
    <w:rsid w:val="00C51A23"/>
    <w:rsid w:val="00C51EC9"/>
    <w:rsid w:val="00C520AA"/>
    <w:rsid w:val="00C53296"/>
    <w:rsid w:val="00C533F2"/>
    <w:rsid w:val="00C53582"/>
    <w:rsid w:val="00C54311"/>
    <w:rsid w:val="00C544E2"/>
    <w:rsid w:val="00C54855"/>
    <w:rsid w:val="00C54927"/>
    <w:rsid w:val="00C54B8A"/>
    <w:rsid w:val="00C54E2B"/>
    <w:rsid w:val="00C54EFA"/>
    <w:rsid w:val="00C558DC"/>
    <w:rsid w:val="00C5682D"/>
    <w:rsid w:val="00C56D05"/>
    <w:rsid w:val="00C56F2E"/>
    <w:rsid w:val="00C57962"/>
    <w:rsid w:val="00C57E08"/>
    <w:rsid w:val="00C60009"/>
    <w:rsid w:val="00C60AF1"/>
    <w:rsid w:val="00C618E9"/>
    <w:rsid w:val="00C61C54"/>
    <w:rsid w:val="00C62B83"/>
    <w:rsid w:val="00C62C3C"/>
    <w:rsid w:val="00C62ECC"/>
    <w:rsid w:val="00C6370C"/>
    <w:rsid w:val="00C63DE3"/>
    <w:rsid w:val="00C63F5C"/>
    <w:rsid w:val="00C644CB"/>
    <w:rsid w:val="00C64735"/>
    <w:rsid w:val="00C656F6"/>
    <w:rsid w:val="00C659E8"/>
    <w:rsid w:val="00C65A3A"/>
    <w:rsid w:val="00C662DC"/>
    <w:rsid w:val="00C672D8"/>
    <w:rsid w:val="00C707F1"/>
    <w:rsid w:val="00C70FC8"/>
    <w:rsid w:val="00C7100C"/>
    <w:rsid w:val="00C71038"/>
    <w:rsid w:val="00C71430"/>
    <w:rsid w:val="00C719C1"/>
    <w:rsid w:val="00C71AE5"/>
    <w:rsid w:val="00C7261A"/>
    <w:rsid w:val="00C726C2"/>
    <w:rsid w:val="00C72B2D"/>
    <w:rsid w:val="00C72FE4"/>
    <w:rsid w:val="00C737D2"/>
    <w:rsid w:val="00C73D54"/>
    <w:rsid w:val="00C73E57"/>
    <w:rsid w:val="00C74BE8"/>
    <w:rsid w:val="00C758EE"/>
    <w:rsid w:val="00C76049"/>
    <w:rsid w:val="00C77C75"/>
    <w:rsid w:val="00C803C9"/>
    <w:rsid w:val="00C80CBF"/>
    <w:rsid w:val="00C8128B"/>
    <w:rsid w:val="00C815FE"/>
    <w:rsid w:val="00C816CF"/>
    <w:rsid w:val="00C81D29"/>
    <w:rsid w:val="00C81D5B"/>
    <w:rsid w:val="00C82295"/>
    <w:rsid w:val="00C822DF"/>
    <w:rsid w:val="00C8271F"/>
    <w:rsid w:val="00C82B7E"/>
    <w:rsid w:val="00C83007"/>
    <w:rsid w:val="00C831A1"/>
    <w:rsid w:val="00C83306"/>
    <w:rsid w:val="00C8337F"/>
    <w:rsid w:val="00C83FD1"/>
    <w:rsid w:val="00C842E6"/>
    <w:rsid w:val="00C84418"/>
    <w:rsid w:val="00C844F0"/>
    <w:rsid w:val="00C849E1"/>
    <w:rsid w:val="00C85622"/>
    <w:rsid w:val="00C85744"/>
    <w:rsid w:val="00C8600E"/>
    <w:rsid w:val="00C86018"/>
    <w:rsid w:val="00C865E4"/>
    <w:rsid w:val="00C86949"/>
    <w:rsid w:val="00C86CBE"/>
    <w:rsid w:val="00C909F7"/>
    <w:rsid w:val="00C9113B"/>
    <w:rsid w:val="00C91549"/>
    <w:rsid w:val="00C918A8"/>
    <w:rsid w:val="00C92132"/>
    <w:rsid w:val="00C92209"/>
    <w:rsid w:val="00C92616"/>
    <w:rsid w:val="00C92862"/>
    <w:rsid w:val="00C93225"/>
    <w:rsid w:val="00C942A2"/>
    <w:rsid w:val="00C9452F"/>
    <w:rsid w:val="00C947D4"/>
    <w:rsid w:val="00C94AF2"/>
    <w:rsid w:val="00C94C66"/>
    <w:rsid w:val="00C95209"/>
    <w:rsid w:val="00C95333"/>
    <w:rsid w:val="00C954B6"/>
    <w:rsid w:val="00C955B9"/>
    <w:rsid w:val="00C95D70"/>
    <w:rsid w:val="00C96285"/>
    <w:rsid w:val="00C9714F"/>
    <w:rsid w:val="00C975B6"/>
    <w:rsid w:val="00C97994"/>
    <w:rsid w:val="00C97F22"/>
    <w:rsid w:val="00CA08E2"/>
    <w:rsid w:val="00CA0C9B"/>
    <w:rsid w:val="00CA1144"/>
    <w:rsid w:val="00CA1B92"/>
    <w:rsid w:val="00CA215A"/>
    <w:rsid w:val="00CA21FE"/>
    <w:rsid w:val="00CA26D8"/>
    <w:rsid w:val="00CA2F95"/>
    <w:rsid w:val="00CA3324"/>
    <w:rsid w:val="00CA38DE"/>
    <w:rsid w:val="00CA3C98"/>
    <w:rsid w:val="00CA3D5B"/>
    <w:rsid w:val="00CA3E15"/>
    <w:rsid w:val="00CA3E49"/>
    <w:rsid w:val="00CA3FE7"/>
    <w:rsid w:val="00CA43E5"/>
    <w:rsid w:val="00CA481A"/>
    <w:rsid w:val="00CA482F"/>
    <w:rsid w:val="00CA4862"/>
    <w:rsid w:val="00CA55D8"/>
    <w:rsid w:val="00CA5633"/>
    <w:rsid w:val="00CA5830"/>
    <w:rsid w:val="00CA5DE5"/>
    <w:rsid w:val="00CA605A"/>
    <w:rsid w:val="00CA64CE"/>
    <w:rsid w:val="00CA679F"/>
    <w:rsid w:val="00CA6EDE"/>
    <w:rsid w:val="00CA7031"/>
    <w:rsid w:val="00CA7DF2"/>
    <w:rsid w:val="00CB0216"/>
    <w:rsid w:val="00CB0988"/>
    <w:rsid w:val="00CB098B"/>
    <w:rsid w:val="00CB0A62"/>
    <w:rsid w:val="00CB0C27"/>
    <w:rsid w:val="00CB0CE0"/>
    <w:rsid w:val="00CB141F"/>
    <w:rsid w:val="00CB1433"/>
    <w:rsid w:val="00CB159C"/>
    <w:rsid w:val="00CB186F"/>
    <w:rsid w:val="00CB1908"/>
    <w:rsid w:val="00CB22DF"/>
    <w:rsid w:val="00CB28EF"/>
    <w:rsid w:val="00CB3534"/>
    <w:rsid w:val="00CB3562"/>
    <w:rsid w:val="00CB4718"/>
    <w:rsid w:val="00CB4BFC"/>
    <w:rsid w:val="00CB5B53"/>
    <w:rsid w:val="00CB5B65"/>
    <w:rsid w:val="00CB5DBC"/>
    <w:rsid w:val="00CB62FA"/>
    <w:rsid w:val="00CB64C4"/>
    <w:rsid w:val="00CB6F5A"/>
    <w:rsid w:val="00CB7302"/>
    <w:rsid w:val="00CC063B"/>
    <w:rsid w:val="00CC0A03"/>
    <w:rsid w:val="00CC119A"/>
    <w:rsid w:val="00CC2A94"/>
    <w:rsid w:val="00CC36F6"/>
    <w:rsid w:val="00CC3903"/>
    <w:rsid w:val="00CC4618"/>
    <w:rsid w:val="00CC4DC5"/>
    <w:rsid w:val="00CC4FAB"/>
    <w:rsid w:val="00CC51E9"/>
    <w:rsid w:val="00CC5530"/>
    <w:rsid w:val="00CC556C"/>
    <w:rsid w:val="00CC5BD8"/>
    <w:rsid w:val="00CC674E"/>
    <w:rsid w:val="00CC6789"/>
    <w:rsid w:val="00CC69AF"/>
    <w:rsid w:val="00CC6EE3"/>
    <w:rsid w:val="00CC757D"/>
    <w:rsid w:val="00CC7B86"/>
    <w:rsid w:val="00CC7C58"/>
    <w:rsid w:val="00CC7CF0"/>
    <w:rsid w:val="00CC7D89"/>
    <w:rsid w:val="00CD046B"/>
    <w:rsid w:val="00CD0B70"/>
    <w:rsid w:val="00CD0D7C"/>
    <w:rsid w:val="00CD0F0E"/>
    <w:rsid w:val="00CD117E"/>
    <w:rsid w:val="00CD124D"/>
    <w:rsid w:val="00CD1990"/>
    <w:rsid w:val="00CD1C32"/>
    <w:rsid w:val="00CD1EF1"/>
    <w:rsid w:val="00CD2519"/>
    <w:rsid w:val="00CD27B8"/>
    <w:rsid w:val="00CD3256"/>
    <w:rsid w:val="00CD32B1"/>
    <w:rsid w:val="00CD32CD"/>
    <w:rsid w:val="00CD33DE"/>
    <w:rsid w:val="00CD3BF3"/>
    <w:rsid w:val="00CD461A"/>
    <w:rsid w:val="00CD4C69"/>
    <w:rsid w:val="00CD510D"/>
    <w:rsid w:val="00CD5835"/>
    <w:rsid w:val="00CD58C6"/>
    <w:rsid w:val="00CD5944"/>
    <w:rsid w:val="00CD5AF8"/>
    <w:rsid w:val="00CD5D72"/>
    <w:rsid w:val="00CD633A"/>
    <w:rsid w:val="00CD63AC"/>
    <w:rsid w:val="00CD64DF"/>
    <w:rsid w:val="00CD67BF"/>
    <w:rsid w:val="00CD6AC2"/>
    <w:rsid w:val="00CD6CBA"/>
    <w:rsid w:val="00CD6CFC"/>
    <w:rsid w:val="00CD748D"/>
    <w:rsid w:val="00CD7AC1"/>
    <w:rsid w:val="00CD7CD5"/>
    <w:rsid w:val="00CE0997"/>
    <w:rsid w:val="00CE128C"/>
    <w:rsid w:val="00CE1393"/>
    <w:rsid w:val="00CE15AC"/>
    <w:rsid w:val="00CE18D2"/>
    <w:rsid w:val="00CE1D1B"/>
    <w:rsid w:val="00CE2477"/>
    <w:rsid w:val="00CE35C8"/>
    <w:rsid w:val="00CE37D7"/>
    <w:rsid w:val="00CE38AE"/>
    <w:rsid w:val="00CE3AF3"/>
    <w:rsid w:val="00CE3DB3"/>
    <w:rsid w:val="00CE428C"/>
    <w:rsid w:val="00CE4296"/>
    <w:rsid w:val="00CE43F1"/>
    <w:rsid w:val="00CE4481"/>
    <w:rsid w:val="00CE4949"/>
    <w:rsid w:val="00CE4A85"/>
    <w:rsid w:val="00CE4D1C"/>
    <w:rsid w:val="00CE51E1"/>
    <w:rsid w:val="00CE55FB"/>
    <w:rsid w:val="00CE58E1"/>
    <w:rsid w:val="00CE59CC"/>
    <w:rsid w:val="00CE65A4"/>
    <w:rsid w:val="00CE664D"/>
    <w:rsid w:val="00CE666E"/>
    <w:rsid w:val="00CE6A30"/>
    <w:rsid w:val="00CE6BAC"/>
    <w:rsid w:val="00CE6C28"/>
    <w:rsid w:val="00CE7D69"/>
    <w:rsid w:val="00CF0027"/>
    <w:rsid w:val="00CF082B"/>
    <w:rsid w:val="00CF09E9"/>
    <w:rsid w:val="00CF0BE8"/>
    <w:rsid w:val="00CF1329"/>
    <w:rsid w:val="00CF17FA"/>
    <w:rsid w:val="00CF2B7D"/>
    <w:rsid w:val="00CF3BDA"/>
    <w:rsid w:val="00CF3FD8"/>
    <w:rsid w:val="00CF45A5"/>
    <w:rsid w:val="00CF46CD"/>
    <w:rsid w:val="00CF4BC0"/>
    <w:rsid w:val="00CF51C6"/>
    <w:rsid w:val="00CF5DCD"/>
    <w:rsid w:val="00CF5FC9"/>
    <w:rsid w:val="00CF6663"/>
    <w:rsid w:val="00CF6963"/>
    <w:rsid w:val="00CF73BE"/>
    <w:rsid w:val="00CF7404"/>
    <w:rsid w:val="00D00590"/>
    <w:rsid w:val="00D0098E"/>
    <w:rsid w:val="00D00B72"/>
    <w:rsid w:val="00D00B8F"/>
    <w:rsid w:val="00D00D12"/>
    <w:rsid w:val="00D00D2A"/>
    <w:rsid w:val="00D00D92"/>
    <w:rsid w:val="00D00EE8"/>
    <w:rsid w:val="00D00FA8"/>
    <w:rsid w:val="00D01757"/>
    <w:rsid w:val="00D019ED"/>
    <w:rsid w:val="00D022F9"/>
    <w:rsid w:val="00D0243F"/>
    <w:rsid w:val="00D02747"/>
    <w:rsid w:val="00D02DA9"/>
    <w:rsid w:val="00D03591"/>
    <w:rsid w:val="00D03C29"/>
    <w:rsid w:val="00D03CA0"/>
    <w:rsid w:val="00D044B4"/>
    <w:rsid w:val="00D04856"/>
    <w:rsid w:val="00D04E5B"/>
    <w:rsid w:val="00D0569E"/>
    <w:rsid w:val="00D059B2"/>
    <w:rsid w:val="00D05FD1"/>
    <w:rsid w:val="00D06441"/>
    <w:rsid w:val="00D067D6"/>
    <w:rsid w:val="00D069A3"/>
    <w:rsid w:val="00D07FEA"/>
    <w:rsid w:val="00D100E8"/>
    <w:rsid w:val="00D102A5"/>
    <w:rsid w:val="00D1066A"/>
    <w:rsid w:val="00D1101F"/>
    <w:rsid w:val="00D1112C"/>
    <w:rsid w:val="00D1168B"/>
    <w:rsid w:val="00D1184A"/>
    <w:rsid w:val="00D1196F"/>
    <w:rsid w:val="00D11DA5"/>
    <w:rsid w:val="00D121D2"/>
    <w:rsid w:val="00D1253A"/>
    <w:rsid w:val="00D125B6"/>
    <w:rsid w:val="00D12C22"/>
    <w:rsid w:val="00D12C95"/>
    <w:rsid w:val="00D12CBA"/>
    <w:rsid w:val="00D12EC7"/>
    <w:rsid w:val="00D14025"/>
    <w:rsid w:val="00D14445"/>
    <w:rsid w:val="00D1468C"/>
    <w:rsid w:val="00D14D6C"/>
    <w:rsid w:val="00D14DA1"/>
    <w:rsid w:val="00D14EC2"/>
    <w:rsid w:val="00D15107"/>
    <w:rsid w:val="00D15464"/>
    <w:rsid w:val="00D15A19"/>
    <w:rsid w:val="00D16409"/>
    <w:rsid w:val="00D16AAE"/>
    <w:rsid w:val="00D17A11"/>
    <w:rsid w:val="00D206C8"/>
    <w:rsid w:val="00D211CD"/>
    <w:rsid w:val="00D21437"/>
    <w:rsid w:val="00D228E8"/>
    <w:rsid w:val="00D22E7D"/>
    <w:rsid w:val="00D22EEC"/>
    <w:rsid w:val="00D23640"/>
    <w:rsid w:val="00D23FDE"/>
    <w:rsid w:val="00D2447F"/>
    <w:rsid w:val="00D246FE"/>
    <w:rsid w:val="00D24733"/>
    <w:rsid w:val="00D2647D"/>
    <w:rsid w:val="00D26578"/>
    <w:rsid w:val="00D26596"/>
    <w:rsid w:val="00D26B19"/>
    <w:rsid w:val="00D26B35"/>
    <w:rsid w:val="00D26F2E"/>
    <w:rsid w:val="00D26F50"/>
    <w:rsid w:val="00D27269"/>
    <w:rsid w:val="00D27438"/>
    <w:rsid w:val="00D27D89"/>
    <w:rsid w:val="00D300CA"/>
    <w:rsid w:val="00D30147"/>
    <w:rsid w:val="00D30B15"/>
    <w:rsid w:val="00D311F4"/>
    <w:rsid w:val="00D314E9"/>
    <w:rsid w:val="00D3150A"/>
    <w:rsid w:val="00D315DE"/>
    <w:rsid w:val="00D32356"/>
    <w:rsid w:val="00D327EE"/>
    <w:rsid w:val="00D32E7D"/>
    <w:rsid w:val="00D32F00"/>
    <w:rsid w:val="00D336C4"/>
    <w:rsid w:val="00D33F65"/>
    <w:rsid w:val="00D33F89"/>
    <w:rsid w:val="00D33FC8"/>
    <w:rsid w:val="00D34053"/>
    <w:rsid w:val="00D34D96"/>
    <w:rsid w:val="00D3590C"/>
    <w:rsid w:val="00D359E4"/>
    <w:rsid w:val="00D35FB0"/>
    <w:rsid w:val="00D369E3"/>
    <w:rsid w:val="00D36FB5"/>
    <w:rsid w:val="00D371AC"/>
    <w:rsid w:val="00D3737B"/>
    <w:rsid w:val="00D3766F"/>
    <w:rsid w:val="00D3778F"/>
    <w:rsid w:val="00D40366"/>
    <w:rsid w:val="00D40B3D"/>
    <w:rsid w:val="00D40B4F"/>
    <w:rsid w:val="00D40C4B"/>
    <w:rsid w:val="00D411E4"/>
    <w:rsid w:val="00D41CCA"/>
    <w:rsid w:val="00D41CCF"/>
    <w:rsid w:val="00D42E47"/>
    <w:rsid w:val="00D432E4"/>
    <w:rsid w:val="00D43537"/>
    <w:rsid w:val="00D43BD0"/>
    <w:rsid w:val="00D43F1F"/>
    <w:rsid w:val="00D4436E"/>
    <w:rsid w:val="00D446E3"/>
    <w:rsid w:val="00D4479C"/>
    <w:rsid w:val="00D45226"/>
    <w:rsid w:val="00D4549A"/>
    <w:rsid w:val="00D4552D"/>
    <w:rsid w:val="00D456B1"/>
    <w:rsid w:val="00D45A68"/>
    <w:rsid w:val="00D45E74"/>
    <w:rsid w:val="00D45E9C"/>
    <w:rsid w:val="00D4614D"/>
    <w:rsid w:val="00D4683A"/>
    <w:rsid w:val="00D4692A"/>
    <w:rsid w:val="00D47334"/>
    <w:rsid w:val="00D475FD"/>
    <w:rsid w:val="00D476A4"/>
    <w:rsid w:val="00D47725"/>
    <w:rsid w:val="00D47C69"/>
    <w:rsid w:val="00D51B4F"/>
    <w:rsid w:val="00D51BB8"/>
    <w:rsid w:val="00D51F19"/>
    <w:rsid w:val="00D5219A"/>
    <w:rsid w:val="00D524F2"/>
    <w:rsid w:val="00D533C9"/>
    <w:rsid w:val="00D53595"/>
    <w:rsid w:val="00D5366D"/>
    <w:rsid w:val="00D54559"/>
    <w:rsid w:val="00D54636"/>
    <w:rsid w:val="00D54D97"/>
    <w:rsid w:val="00D54E0B"/>
    <w:rsid w:val="00D55155"/>
    <w:rsid w:val="00D551D8"/>
    <w:rsid w:val="00D5526F"/>
    <w:rsid w:val="00D55954"/>
    <w:rsid w:val="00D56216"/>
    <w:rsid w:val="00D56422"/>
    <w:rsid w:val="00D56811"/>
    <w:rsid w:val="00D569B7"/>
    <w:rsid w:val="00D56A24"/>
    <w:rsid w:val="00D5709F"/>
    <w:rsid w:val="00D572CB"/>
    <w:rsid w:val="00D575D9"/>
    <w:rsid w:val="00D60394"/>
    <w:rsid w:val="00D605C0"/>
    <w:rsid w:val="00D608B6"/>
    <w:rsid w:val="00D610C6"/>
    <w:rsid w:val="00D611F0"/>
    <w:rsid w:val="00D612C3"/>
    <w:rsid w:val="00D61476"/>
    <w:rsid w:val="00D61A2C"/>
    <w:rsid w:val="00D61AB9"/>
    <w:rsid w:val="00D61E2B"/>
    <w:rsid w:val="00D61E48"/>
    <w:rsid w:val="00D622E0"/>
    <w:rsid w:val="00D626B2"/>
    <w:rsid w:val="00D6293B"/>
    <w:rsid w:val="00D62B38"/>
    <w:rsid w:val="00D62CB4"/>
    <w:rsid w:val="00D62E4E"/>
    <w:rsid w:val="00D63257"/>
    <w:rsid w:val="00D6369B"/>
    <w:rsid w:val="00D6380E"/>
    <w:rsid w:val="00D63DD1"/>
    <w:rsid w:val="00D64679"/>
    <w:rsid w:val="00D64C9F"/>
    <w:rsid w:val="00D651D9"/>
    <w:rsid w:val="00D65FDC"/>
    <w:rsid w:val="00D663C9"/>
    <w:rsid w:val="00D66425"/>
    <w:rsid w:val="00D66D6B"/>
    <w:rsid w:val="00D66DA5"/>
    <w:rsid w:val="00D66DAB"/>
    <w:rsid w:val="00D66E06"/>
    <w:rsid w:val="00D676F3"/>
    <w:rsid w:val="00D67E93"/>
    <w:rsid w:val="00D704DF"/>
    <w:rsid w:val="00D70798"/>
    <w:rsid w:val="00D70E32"/>
    <w:rsid w:val="00D70F1C"/>
    <w:rsid w:val="00D712D9"/>
    <w:rsid w:val="00D71357"/>
    <w:rsid w:val="00D713DA"/>
    <w:rsid w:val="00D716AC"/>
    <w:rsid w:val="00D71949"/>
    <w:rsid w:val="00D71C90"/>
    <w:rsid w:val="00D7200A"/>
    <w:rsid w:val="00D737B9"/>
    <w:rsid w:val="00D73BD5"/>
    <w:rsid w:val="00D7421B"/>
    <w:rsid w:val="00D745D9"/>
    <w:rsid w:val="00D76243"/>
    <w:rsid w:val="00D7685A"/>
    <w:rsid w:val="00D768E6"/>
    <w:rsid w:val="00D76E87"/>
    <w:rsid w:val="00D771B2"/>
    <w:rsid w:val="00D7779C"/>
    <w:rsid w:val="00D777D6"/>
    <w:rsid w:val="00D77BDC"/>
    <w:rsid w:val="00D77F81"/>
    <w:rsid w:val="00D80814"/>
    <w:rsid w:val="00D815A3"/>
    <w:rsid w:val="00D8177E"/>
    <w:rsid w:val="00D8186D"/>
    <w:rsid w:val="00D819BE"/>
    <w:rsid w:val="00D81D19"/>
    <w:rsid w:val="00D81DB6"/>
    <w:rsid w:val="00D82633"/>
    <w:rsid w:val="00D826C5"/>
    <w:rsid w:val="00D82785"/>
    <w:rsid w:val="00D835A3"/>
    <w:rsid w:val="00D83970"/>
    <w:rsid w:val="00D83B4C"/>
    <w:rsid w:val="00D843D7"/>
    <w:rsid w:val="00D843EA"/>
    <w:rsid w:val="00D847E3"/>
    <w:rsid w:val="00D84A8E"/>
    <w:rsid w:val="00D856AB"/>
    <w:rsid w:val="00D856B2"/>
    <w:rsid w:val="00D85CA4"/>
    <w:rsid w:val="00D86BC3"/>
    <w:rsid w:val="00D86D90"/>
    <w:rsid w:val="00D870C2"/>
    <w:rsid w:val="00D87148"/>
    <w:rsid w:val="00D87586"/>
    <w:rsid w:val="00D8785D"/>
    <w:rsid w:val="00D879D7"/>
    <w:rsid w:val="00D87A07"/>
    <w:rsid w:val="00D87DF8"/>
    <w:rsid w:val="00D903CA"/>
    <w:rsid w:val="00D90562"/>
    <w:rsid w:val="00D90AA7"/>
    <w:rsid w:val="00D90C5C"/>
    <w:rsid w:val="00D90FED"/>
    <w:rsid w:val="00D9139F"/>
    <w:rsid w:val="00D91606"/>
    <w:rsid w:val="00D91844"/>
    <w:rsid w:val="00D91BF5"/>
    <w:rsid w:val="00D9239F"/>
    <w:rsid w:val="00D92609"/>
    <w:rsid w:val="00D92BC5"/>
    <w:rsid w:val="00D9320F"/>
    <w:rsid w:val="00D93BDD"/>
    <w:rsid w:val="00D93F30"/>
    <w:rsid w:val="00D945A4"/>
    <w:rsid w:val="00D9485B"/>
    <w:rsid w:val="00D94AD0"/>
    <w:rsid w:val="00D94D58"/>
    <w:rsid w:val="00D95233"/>
    <w:rsid w:val="00D955BE"/>
    <w:rsid w:val="00D96341"/>
    <w:rsid w:val="00D9667D"/>
    <w:rsid w:val="00D966F3"/>
    <w:rsid w:val="00D96820"/>
    <w:rsid w:val="00D96E41"/>
    <w:rsid w:val="00D96FAA"/>
    <w:rsid w:val="00D97019"/>
    <w:rsid w:val="00D9724E"/>
    <w:rsid w:val="00D97F56"/>
    <w:rsid w:val="00DA069F"/>
    <w:rsid w:val="00DA1053"/>
    <w:rsid w:val="00DA154B"/>
    <w:rsid w:val="00DA16D6"/>
    <w:rsid w:val="00DA1BCF"/>
    <w:rsid w:val="00DA1ED1"/>
    <w:rsid w:val="00DA1F1A"/>
    <w:rsid w:val="00DA2115"/>
    <w:rsid w:val="00DA2745"/>
    <w:rsid w:val="00DA29FC"/>
    <w:rsid w:val="00DA2AFE"/>
    <w:rsid w:val="00DA39C6"/>
    <w:rsid w:val="00DA4042"/>
    <w:rsid w:val="00DA448D"/>
    <w:rsid w:val="00DA4A3F"/>
    <w:rsid w:val="00DA4B83"/>
    <w:rsid w:val="00DA4F72"/>
    <w:rsid w:val="00DA4FC5"/>
    <w:rsid w:val="00DA585D"/>
    <w:rsid w:val="00DA58C1"/>
    <w:rsid w:val="00DA5D41"/>
    <w:rsid w:val="00DA5F97"/>
    <w:rsid w:val="00DA5FD5"/>
    <w:rsid w:val="00DA62C4"/>
    <w:rsid w:val="00DA6731"/>
    <w:rsid w:val="00DA67E6"/>
    <w:rsid w:val="00DA6CDC"/>
    <w:rsid w:val="00DA75E0"/>
    <w:rsid w:val="00DA79F7"/>
    <w:rsid w:val="00DA7A4A"/>
    <w:rsid w:val="00DB0178"/>
    <w:rsid w:val="00DB064A"/>
    <w:rsid w:val="00DB0861"/>
    <w:rsid w:val="00DB0A66"/>
    <w:rsid w:val="00DB0BDB"/>
    <w:rsid w:val="00DB11CB"/>
    <w:rsid w:val="00DB14C6"/>
    <w:rsid w:val="00DB1F50"/>
    <w:rsid w:val="00DB302C"/>
    <w:rsid w:val="00DB3518"/>
    <w:rsid w:val="00DB37C1"/>
    <w:rsid w:val="00DB3DD1"/>
    <w:rsid w:val="00DB40AB"/>
    <w:rsid w:val="00DB441F"/>
    <w:rsid w:val="00DB45AC"/>
    <w:rsid w:val="00DB4611"/>
    <w:rsid w:val="00DB51DC"/>
    <w:rsid w:val="00DB6670"/>
    <w:rsid w:val="00DB672E"/>
    <w:rsid w:val="00DB67E5"/>
    <w:rsid w:val="00DB6E8F"/>
    <w:rsid w:val="00DB7016"/>
    <w:rsid w:val="00DB7098"/>
    <w:rsid w:val="00DB71CD"/>
    <w:rsid w:val="00DB7207"/>
    <w:rsid w:val="00DB7B14"/>
    <w:rsid w:val="00DB7EB0"/>
    <w:rsid w:val="00DC0326"/>
    <w:rsid w:val="00DC083E"/>
    <w:rsid w:val="00DC0AC6"/>
    <w:rsid w:val="00DC18F6"/>
    <w:rsid w:val="00DC1C98"/>
    <w:rsid w:val="00DC1D93"/>
    <w:rsid w:val="00DC205F"/>
    <w:rsid w:val="00DC23E4"/>
    <w:rsid w:val="00DC2F3E"/>
    <w:rsid w:val="00DC3028"/>
    <w:rsid w:val="00DC356A"/>
    <w:rsid w:val="00DC35A6"/>
    <w:rsid w:val="00DC37F0"/>
    <w:rsid w:val="00DC3A9A"/>
    <w:rsid w:val="00DC4503"/>
    <w:rsid w:val="00DC4C6F"/>
    <w:rsid w:val="00DC5575"/>
    <w:rsid w:val="00DC57A2"/>
    <w:rsid w:val="00DC5FC2"/>
    <w:rsid w:val="00DC685C"/>
    <w:rsid w:val="00DC6EB7"/>
    <w:rsid w:val="00DC717C"/>
    <w:rsid w:val="00DC76C5"/>
    <w:rsid w:val="00DC7E34"/>
    <w:rsid w:val="00DD0722"/>
    <w:rsid w:val="00DD0F46"/>
    <w:rsid w:val="00DD0F96"/>
    <w:rsid w:val="00DD25E7"/>
    <w:rsid w:val="00DD2657"/>
    <w:rsid w:val="00DD2832"/>
    <w:rsid w:val="00DD29A9"/>
    <w:rsid w:val="00DD2E75"/>
    <w:rsid w:val="00DD3716"/>
    <w:rsid w:val="00DD3B8B"/>
    <w:rsid w:val="00DD474C"/>
    <w:rsid w:val="00DD4DE1"/>
    <w:rsid w:val="00DD5148"/>
    <w:rsid w:val="00DD55D8"/>
    <w:rsid w:val="00DD5F1D"/>
    <w:rsid w:val="00DD6223"/>
    <w:rsid w:val="00DD67A1"/>
    <w:rsid w:val="00DD6FC5"/>
    <w:rsid w:val="00DD71C2"/>
    <w:rsid w:val="00DD7AAF"/>
    <w:rsid w:val="00DD7D0B"/>
    <w:rsid w:val="00DD7D0E"/>
    <w:rsid w:val="00DE1713"/>
    <w:rsid w:val="00DE1BAD"/>
    <w:rsid w:val="00DE1E77"/>
    <w:rsid w:val="00DE40A5"/>
    <w:rsid w:val="00DE4852"/>
    <w:rsid w:val="00DE501D"/>
    <w:rsid w:val="00DE52A2"/>
    <w:rsid w:val="00DE568D"/>
    <w:rsid w:val="00DE57C3"/>
    <w:rsid w:val="00DE5DD5"/>
    <w:rsid w:val="00DE617D"/>
    <w:rsid w:val="00DE6248"/>
    <w:rsid w:val="00DE6641"/>
    <w:rsid w:val="00DE68A7"/>
    <w:rsid w:val="00DE6952"/>
    <w:rsid w:val="00DE762A"/>
    <w:rsid w:val="00DE7BEE"/>
    <w:rsid w:val="00DE7C2F"/>
    <w:rsid w:val="00DE7CCB"/>
    <w:rsid w:val="00DE7EFA"/>
    <w:rsid w:val="00DF0000"/>
    <w:rsid w:val="00DF0827"/>
    <w:rsid w:val="00DF0893"/>
    <w:rsid w:val="00DF0A2B"/>
    <w:rsid w:val="00DF0C6D"/>
    <w:rsid w:val="00DF0CF4"/>
    <w:rsid w:val="00DF10C0"/>
    <w:rsid w:val="00DF137D"/>
    <w:rsid w:val="00DF1623"/>
    <w:rsid w:val="00DF18F9"/>
    <w:rsid w:val="00DF1B55"/>
    <w:rsid w:val="00DF21E6"/>
    <w:rsid w:val="00DF29F1"/>
    <w:rsid w:val="00DF3AC4"/>
    <w:rsid w:val="00DF4B7A"/>
    <w:rsid w:val="00DF4C92"/>
    <w:rsid w:val="00DF5079"/>
    <w:rsid w:val="00DF507D"/>
    <w:rsid w:val="00DF5915"/>
    <w:rsid w:val="00DF5DBD"/>
    <w:rsid w:val="00DF6A6A"/>
    <w:rsid w:val="00DF6EEF"/>
    <w:rsid w:val="00DF6FC5"/>
    <w:rsid w:val="00DF799F"/>
    <w:rsid w:val="00DF7D35"/>
    <w:rsid w:val="00E001A4"/>
    <w:rsid w:val="00E002DF"/>
    <w:rsid w:val="00E003F4"/>
    <w:rsid w:val="00E006EE"/>
    <w:rsid w:val="00E00835"/>
    <w:rsid w:val="00E00AC5"/>
    <w:rsid w:val="00E00D6A"/>
    <w:rsid w:val="00E01131"/>
    <w:rsid w:val="00E01E26"/>
    <w:rsid w:val="00E01E3D"/>
    <w:rsid w:val="00E01E58"/>
    <w:rsid w:val="00E027C5"/>
    <w:rsid w:val="00E02E32"/>
    <w:rsid w:val="00E030C0"/>
    <w:rsid w:val="00E0319E"/>
    <w:rsid w:val="00E032B1"/>
    <w:rsid w:val="00E032DA"/>
    <w:rsid w:val="00E0338F"/>
    <w:rsid w:val="00E03921"/>
    <w:rsid w:val="00E03B4A"/>
    <w:rsid w:val="00E03E64"/>
    <w:rsid w:val="00E0461E"/>
    <w:rsid w:val="00E04762"/>
    <w:rsid w:val="00E0479F"/>
    <w:rsid w:val="00E048E3"/>
    <w:rsid w:val="00E05675"/>
    <w:rsid w:val="00E0606B"/>
    <w:rsid w:val="00E06557"/>
    <w:rsid w:val="00E06728"/>
    <w:rsid w:val="00E069FA"/>
    <w:rsid w:val="00E06C8A"/>
    <w:rsid w:val="00E0720D"/>
    <w:rsid w:val="00E075AB"/>
    <w:rsid w:val="00E075CD"/>
    <w:rsid w:val="00E0774F"/>
    <w:rsid w:val="00E10315"/>
    <w:rsid w:val="00E107DC"/>
    <w:rsid w:val="00E108B0"/>
    <w:rsid w:val="00E10D4B"/>
    <w:rsid w:val="00E10DD2"/>
    <w:rsid w:val="00E11BC6"/>
    <w:rsid w:val="00E1203D"/>
    <w:rsid w:val="00E1270E"/>
    <w:rsid w:val="00E131F5"/>
    <w:rsid w:val="00E13496"/>
    <w:rsid w:val="00E1399C"/>
    <w:rsid w:val="00E14CB8"/>
    <w:rsid w:val="00E15515"/>
    <w:rsid w:val="00E156D3"/>
    <w:rsid w:val="00E15943"/>
    <w:rsid w:val="00E15E3F"/>
    <w:rsid w:val="00E16253"/>
    <w:rsid w:val="00E1709B"/>
    <w:rsid w:val="00E1721D"/>
    <w:rsid w:val="00E17B52"/>
    <w:rsid w:val="00E204F1"/>
    <w:rsid w:val="00E20944"/>
    <w:rsid w:val="00E20C1E"/>
    <w:rsid w:val="00E211B6"/>
    <w:rsid w:val="00E212A6"/>
    <w:rsid w:val="00E21912"/>
    <w:rsid w:val="00E21A23"/>
    <w:rsid w:val="00E21A5D"/>
    <w:rsid w:val="00E2243E"/>
    <w:rsid w:val="00E22595"/>
    <w:rsid w:val="00E232C4"/>
    <w:rsid w:val="00E2367A"/>
    <w:rsid w:val="00E24AA6"/>
    <w:rsid w:val="00E24DF2"/>
    <w:rsid w:val="00E259B3"/>
    <w:rsid w:val="00E25A74"/>
    <w:rsid w:val="00E25AA1"/>
    <w:rsid w:val="00E25D7E"/>
    <w:rsid w:val="00E25E03"/>
    <w:rsid w:val="00E26A94"/>
    <w:rsid w:val="00E27454"/>
    <w:rsid w:val="00E274E4"/>
    <w:rsid w:val="00E301AC"/>
    <w:rsid w:val="00E301D5"/>
    <w:rsid w:val="00E3054C"/>
    <w:rsid w:val="00E30763"/>
    <w:rsid w:val="00E307FB"/>
    <w:rsid w:val="00E30E32"/>
    <w:rsid w:val="00E316FB"/>
    <w:rsid w:val="00E31CD1"/>
    <w:rsid w:val="00E31E4F"/>
    <w:rsid w:val="00E31E9E"/>
    <w:rsid w:val="00E31F75"/>
    <w:rsid w:val="00E323B9"/>
    <w:rsid w:val="00E3254C"/>
    <w:rsid w:val="00E32C29"/>
    <w:rsid w:val="00E32F03"/>
    <w:rsid w:val="00E33023"/>
    <w:rsid w:val="00E336A8"/>
    <w:rsid w:val="00E336CE"/>
    <w:rsid w:val="00E33CF7"/>
    <w:rsid w:val="00E34812"/>
    <w:rsid w:val="00E34A05"/>
    <w:rsid w:val="00E34C21"/>
    <w:rsid w:val="00E34CC0"/>
    <w:rsid w:val="00E34CCC"/>
    <w:rsid w:val="00E34D85"/>
    <w:rsid w:val="00E34DC7"/>
    <w:rsid w:val="00E34E74"/>
    <w:rsid w:val="00E351A9"/>
    <w:rsid w:val="00E358F4"/>
    <w:rsid w:val="00E35DA1"/>
    <w:rsid w:val="00E361AA"/>
    <w:rsid w:val="00E36A22"/>
    <w:rsid w:val="00E37502"/>
    <w:rsid w:val="00E37FE8"/>
    <w:rsid w:val="00E4086B"/>
    <w:rsid w:val="00E408F7"/>
    <w:rsid w:val="00E40CBB"/>
    <w:rsid w:val="00E4248D"/>
    <w:rsid w:val="00E42531"/>
    <w:rsid w:val="00E427D2"/>
    <w:rsid w:val="00E42DC5"/>
    <w:rsid w:val="00E43128"/>
    <w:rsid w:val="00E43756"/>
    <w:rsid w:val="00E43A50"/>
    <w:rsid w:val="00E43C32"/>
    <w:rsid w:val="00E43D54"/>
    <w:rsid w:val="00E448A1"/>
    <w:rsid w:val="00E448E5"/>
    <w:rsid w:val="00E44CAC"/>
    <w:rsid w:val="00E44D4A"/>
    <w:rsid w:val="00E452CD"/>
    <w:rsid w:val="00E45588"/>
    <w:rsid w:val="00E45623"/>
    <w:rsid w:val="00E45BD9"/>
    <w:rsid w:val="00E4626B"/>
    <w:rsid w:val="00E4652B"/>
    <w:rsid w:val="00E46CE2"/>
    <w:rsid w:val="00E46EB9"/>
    <w:rsid w:val="00E4729E"/>
    <w:rsid w:val="00E47CEB"/>
    <w:rsid w:val="00E503E4"/>
    <w:rsid w:val="00E50708"/>
    <w:rsid w:val="00E50A4A"/>
    <w:rsid w:val="00E50F62"/>
    <w:rsid w:val="00E5155E"/>
    <w:rsid w:val="00E5196A"/>
    <w:rsid w:val="00E51A51"/>
    <w:rsid w:val="00E52132"/>
    <w:rsid w:val="00E52319"/>
    <w:rsid w:val="00E5251D"/>
    <w:rsid w:val="00E534C6"/>
    <w:rsid w:val="00E5356F"/>
    <w:rsid w:val="00E53BDC"/>
    <w:rsid w:val="00E53CC5"/>
    <w:rsid w:val="00E53D03"/>
    <w:rsid w:val="00E53FE9"/>
    <w:rsid w:val="00E54439"/>
    <w:rsid w:val="00E54637"/>
    <w:rsid w:val="00E54EFD"/>
    <w:rsid w:val="00E54F87"/>
    <w:rsid w:val="00E555F5"/>
    <w:rsid w:val="00E55794"/>
    <w:rsid w:val="00E55830"/>
    <w:rsid w:val="00E55A63"/>
    <w:rsid w:val="00E55BA5"/>
    <w:rsid w:val="00E5645F"/>
    <w:rsid w:val="00E56571"/>
    <w:rsid w:val="00E5699B"/>
    <w:rsid w:val="00E56A29"/>
    <w:rsid w:val="00E56C23"/>
    <w:rsid w:val="00E570F8"/>
    <w:rsid w:val="00E573A8"/>
    <w:rsid w:val="00E57453"/>
    <w:rsid w:val="00E5758F"/>
    <w:rsid w:val="00E57FB2"/>
    <w:rsid w:val="00E60866"/>
    <w:rsid w:val="00E60D4F"/>
    <w:rsid w:val="00E614DE"/>
    <w:rsid w:val="00E6172C"/>
    <w:rsid w:val="00E61F63"/>
    <w:rsid w:val="00E62CC6"/>
    <w:rsid w:val="00E62F11"/>
    <w:rsid w:val="00E639CE"/>
    <w:rsid w:val="00E63C3E"/>
    <w:rsid w:val="00E640C6"/>
    <w:rsid w:val="00E641C8"/>
    <w:rsid w:val="00E6450B"/>
    <w:rsid w:val="00E656A9"/>
    <w:rsid w:val="00E66790"/>
    <w:rsid w:val="00E66C60"/>
    <w:rsid w:val="00E66CC9"/>
    <w:rsid w:val="00E6707E"/>
    <w:rsid w:val="00E67106"/>
    <w:rsid w:val="00E6776C"/>
    <w:rsid w:val="00E67A62"/>
    <w:rsid w:val="00E70095"/>
    <w:rsid w:val="00E7022C"/>
    <w:rsid w:val="00E706D9"/>
    <w:rsid w:val="00E70BDA"/>
    <w:rsid w:val="00E70C5F"/>
    <w:rsid w:val="00E70D5D"/>
    <w:rsid w:val="00E70DAD"/>
    <w:rsid w:val="00E710FD"/>
    <w:rsid w:val="00E71758"/>
    <w:rsid w:val="00E71808"/>
    <w:rsid w:val="00E71DFE"/>
    <w:rsid w:val="00E72704"/>
    <w:rsid w:val="00E73D18"/>
    <w:rsid w:val="00E74253"/>
    <w:rsid w:val="00E74528"/>
    <w:rsid w:val="00E74FE6"/>
    <w:rsid w:val="00E75946"/>
    <w:rsid w:val="00E76232"/>
    <w:rsid w:val="00E76383"/>
    <w:rsid w:val="00E76A06"/>
    <w:rsid w:val="00E76A75"/>
    <w:rsid w:val="00E76AFA"/>
    <w:rsid w:val="00E76BF4"/>
    <w:rsid w:val="00E770E0"/>
    <w:rsid w:val="00E771C8"/>
    <w:rsid w:val="00E77D38"/>
    <w:rsid w:val="00E77EFC"/>
    <w:rsid w:val="00E77F3E"/>
    <w:rsid w:val="00E8030C"/>
    <w:rsid w:val="00E80364"/>
    <w:rsid w:val="00E803AD"/>
    <w:rsid w:val="00E805F3"/>
    <w:rsid w:val="00E81178"/>
    <w:rsid w:val="00E81226"/>
    <w:rsid w:val="00E81A6F"/>
    <w:rsid w:val="00E824AF"/>
    <w:rsid w:val="00E82699"/>
    <w:rsid w:val="00E826C6"/>
    <w:rsid w:val="00E82E91"/>
    <w:rsid w:val="00E83055"/>
    <w:rsid w:val="00E84058"/>
    <w:rsid w:val="00E84632"/>
    <w:rsid w:val="00E847F3"/>
    <w:rsid w:val="00E84B23"/>
    <w:rsid w:val="00E85E33"/>
    <w:rsid w:val="00E86731"/>
    <w:rsid w:val="00E86B95"/>
    <w:rsid w:val="00E86C0A"/>
    <w:rsid w:val="00E86CAC"/>
    <w:rsid w:val="00E86EBB"/>
    <w:rsid w:val="00E86FC1"/>
    <w:rsid w:val="00E87AF6"/>
    <w:rsid w:val="00E90848"/>
    <w:rsid w:val="00E90E87"/>
    <w:rsid w:val="00E90F30"/>
    <w:rsid w:val="00E91026"/>
    <w:rsid w:val="00E91411"/>
    <w:rsid w:val="00E91980"/>
    <w:rsid w:val="00E91B0B"/>
    <w:rsid w:val="00E91D3A"/>
    <w:rsid w:val="00E9200F"/>
    <w:rsid w:val="00E923CA"/>
    <w:rsid w:val="00E9268D"/>
    <w:rsid w:val="00E92B5C"/>
    <w:rsid w:val="00E93325"/>
    <w:rsid w:val="00E9340B"/>
    <w:rsid w:val="00E938A2"/>
    <w:rsid w:val="00E938DC"/>
    <w:rsid w:val="00E93E52"/>
    <w:rsid w:val="00E94023"/>
    <w:rsid w:val="00E94210"/>
    <w:rsid w:val="00E94962"/>
    <w:rsid w:val="00E94BFD"/>
    <w:rsid w:val="00E95266"/>
    <w:rsid w:val="00E95693"/>
    <w:rsid w:val="00E958EA"/>
    <w:rsid w:val="00E961F3"/>
    <w:rsid w:val="00E969A4"/>
    <w:rsid w:val="00E97D5A"/>
    <w:rsid w:val="00EA0262"/>
    <w:rsid w:val="00EA0284"/>
    <w:rsid w:val="00EA056E"/>
    <w:rsid w:val="00EA0839"/>
    <w:rsid w:val="00EA0976"/>
    <w:rsid w:val="00EA142D"/>
    <w:rsid w:val="00EA179D"/>
    <w:rsid w:val="00EA1900"/>
    <w:rsid w:val="00EA1D4F"/>
    <w:rsid w:val="00EA277D"/>
    <w:rsid w:val="00EA2F79"/>
    <w:rsid w:val="00EA3209"/>
    <w:rsid w:val="00EA3832"/>
    <w:rsid w:val="00EA4382"/>
    <w:rsid w:val="00EA47B8"/>
    <w:rsid w:val="00EA4D04"/>
    <w:rsid w:val="00EA540C"/>
    <w:rsid w:val="00EA5D3A"/>
    <w:rsid w:val="00EA5F97"/>
    <w:rsid w:val="00EA62F9"/>
    <w:rsid w:val="00EA6815"/>
    <w:rsid w:val="00EA69BD"/>
    <w:rsid w:val="00EA6B3D"/>
    <w:rsid w:val="00EA6EE6"/>
    <w:rsid w:val="00EA7294"/>
    <w:rsid w:val="00EA746D"/>
    <w:rsid w:val="00EA75C5"/>
    <w:rsid w:val="00EA7FFB"/>
    <w:rsid w:val="00EB0096"/>
    <w:rsid w:val="00EB04A7"/>
    <w:rsid w:val="00EB0A08"/>
    <w:rsid w:val="00EB0C6A"/>
    <w:rsid w:val="00EB13A6"/>
    <w:rsid w:val="00EB1509"/>
    <w:rsid w:val="00EB18BC"/>
    <w:rsid w:val="00EB1B6C"/>
    <w:rsid w:val="00EB25EA"/>
    <w:rsid w:val="00EB287A"/>
    <w:rsid w:val="00EB2AA2"/>
    <w:rsid w:val="00EB2D91"/>
    <w:rsid w:val="00EB2FB0"/>
    <w:rsid w:val="00EB36E8"/>
    <w:rsid w:val="00EB384D"/>
    <w:rsid w:val="00EB3983"/>
    <w:rsid w:val="00EB3A51"/>
    <w:rsid w:val="00EB3E0E"/>
    <w:rsid w:val="00EB3EDA"/>
    <w:rsid w:val="00EB3F0A"/>
    <w:rsid w:val="00EB4172"/>
    <w:rsid w:val="00EB4447"/>
    <w:rsid w:val="00EB4DCF"/>
    <w:rsid w:val="00EB5CE3"/>
    <w:rsid w:val="00EB5DE0"/>
    <w:rsid w:val="00EB5F07"/>
    <w:rsid w:val="00EB6E7B"/>
    <w:rsid w:val="00EB6FC8"/>
    <w:rsid w:val="00EB73BA"/>
    <w:rsid w:val="00EB7A9D"/>
    <w:rsid w:val="00EB7A9F"/>
    <w:rsid w:val="00EC1049"/>
    <w:rsid w:val="00EC1254"/>
    <w:rsid w:val="00EC1C6B"/>
    <w:rsid w:val="00EC1D9D"/>
    <w:rsid w:val="00EC32DE"/>
    <w:rsid w:val="00EC33D3"/>
    <w:rsid w:val="00EC34C7"/>
    <w:rsid w:val="00EC3AAD"/>
    <w:rsid w:val="00EC480A"/>
    <w:rsid w:val="00EC4E7F"/>
    <w:rsid w:val="00EC53E9"/>
    <w:rsid w:val="00EC5AA8"/>
    <w:rsid w:val="00EC6BE9"/>
    <w:rsid w:val="00EC6D32"/>
    <w:rsid w:val="00EC6DDC"/>
    <w:rsid w:val="00EC6E75"/>
    <w:rsid w:val="00EC6F57"/>
    <w:rsid w:val="00EC704A"/>
    <w:rsid w:val="00EC707E"/>
    <w:rsid w:val="00EC735D"/>
    <w:rsid w:val="00EC7509"/>
    <w:rsid w:val="00EC7BD7"/>
    <w:rsid w:val="00ED00B1"/>
    <w:rsid w:val="00ED00E0"/>
    <w:rsid w:val="00ED0A49"/>
    <w:rsid w:val="00ED0B47"/>
    <w:rsid w:val="00ED0BD9"/>
    <w:rsid w:val="00ED0FBD"/>
    <w:rsid w:val="00ED1136"/>
    <w:rsid w:val="00ED1AA2"/>
    <w:rsid w:val="00ED286D"/>
    <w:rsid w:val="00ED2FF3"/>
    <w:rsid w:val="00ED3378"/>
    <w:rsid w:val="00ED36CF"/>
    <w:rsid w:val="00ED3F16"/>
    <w:rsid w:val="00ED3F5A"/>
    <w:rsid w:val="00ED42D9"/>
    <w:rsid w:val="00ED444E"/>
    <w:rsid w:val="00ED446F"/>
    <w:rsid w:val="00ED452F"/>
    <w:rsid w:val="00ED4956"/>
    <w:rsid w:val="00ED49E1"/>
    <w:rsid w:val="00ED4B1B"/>
    <w:rsid w:val="00ED4E51"/>
    <w:rsid w:val="00ED515A"/>
    <w:rsid w:val="00ED51D3"/>
    <w:rsid w:val="00ED526A"/>
    <w:rsid w:val="00ED548E"/>
    <w:rsid w:val="00ED555F"/>
    <w:rsid w:val="00ED58B6"/>
    <w:rsid w:val="00ED63C5"/>
    <w:rsid w:val="00ED655E"/>
    <w:rsid w:val="00ED6581"/>
    <w:rsid w:val="00ED6724"/>
    <w:rsid w:val="00ED6743"/>
    <w:rsid w:val="00ED6FCE"/>
    <w:rsid w:val="00ED71AD"/>
    <w:rsid w:val="00ED7484"/>
    <w:rsid w:val="00ED791C"/>
    <w:rsid w:val="00EE0B2D"/>
    <w:rsid w:val="00EE0E9B"/>
    <w:rsid w:val="00EE1290"/>
    <w:rsid w:val="00EE1332"/>
    <w:rsid w:val="00EE14C0"/>
    <w:rsid w:val="00EE1EDE"/>
    <w:rsid w:val="00EE26C0"/>
    <w:rsid w:val="00EE2F99"/>
    <w:rsid w:val="00EE325D"/>
    <w:rsid w:val="00EE3B22"/>
    <w:rsid w:val="00EE3E29"/>
    <w:rsid w:val="00EE3EEF"/>
    <w:rsid w:val="00EE42FB"/>
    <w:rsid w:val="00EE521D"/>
    <w:rsid w:val="00EE52F4"/>
    <w:rsid w:val="00EE5756"/>
    <w:rsid w:val="00EE5950"/>
    <w:rsid w:val="00EE60A4"/>
    <w:rsid w:val="00EE64A5"/>
    <w:rsid w:val="00EE64AD"/>
    <w:rsid w:val="00EE66DC"/>
    <w:rsid w:val="00EE698B"/>
    <w:rsid w:val="00EE6DC5"/>
    <w:rsid w:val="00EE70F5"/>
    <w:rsid w:val="00EE7166"/>
    <w:rsid w:val="00EE7529"/>
    <w:rsid w:val="00EF1C37"/>
    <w:rsid w:val="00EF29CA"/>
    <w:rsid w:val="00EF2FEC"/>
    <w:rsid w:val="00EF3472"/>
    <w:rsid w:val="00EF37BD"/>
    <w:rsid w:val="00EF37E5"/>
    <w:rsid w:val="00EF393A"/>
    <w:rsid w:val="00EF3AC5"/>
    <w:rsid w:val="00EF3C55"/>
    <w:rsid w:val="00EF478A"/>
    <w:rsid w:val="00EF4A79"/>
    <w:rsid w:val="00EF4B72"/>
    <w:rsid w:val="00EF4DBA"/>
    <w:rsid w:val="00EF4F8B"/>
    <w:rsid w:val="00EF5B10"/>
    <w:rsid w:val="00EF5DC3"/>
    <w:rsid w:val="00EF5E69"/>
    <w:rsid w:val="00EF61C5"/>
    <w:rsid w:val="00EF64EB"/>
    <w:rsid w:val="00EF6F14"/>
    <w:rsid w:val="00EF75D7"/>
    <w:rsid w:val="00EF780B"/>
    <w:rsid w:val="00F0094E"/>
    <w:rsid w:val="00F00B44"/>
    <w:rsid w:val="00F00B93"/>
    <w:rsid w:val="00F0198B"/>
    <w:rsid w:val="00F01C12"/>
    <w:rsid w:val="00F01C2F"/>
    <w:rsid w:val="00F02A73"/>
    <w:rsid w:val="00F02B2A"/>
    <w:rsid w:val="00F02C95"/>
    <w:rsid w:val="00F035BF"/>
    <w:rsid w:val="00F03B6A"/>
    <w:rsid w:val="00F03C13"/>
    <w:rsid w:val="00F040CF"/>
    <w:rsid w:val="00F042C6"/>
    <w:rsid w:val="00F04325"/>
    <w:rsid w:val="00F043C4"/>
    <w:rsid w:val="00F0465B"/>
    <w:rsid w:val="00F04C5A"/>
    <w:rsid w:val="00F059BC"/>
    <w:rsid w:val="00F05A9D"/>
    <w:rsid w:val="00F05B48"/>
    <w:rsid w:val="00F05E42"/>
    <w:rsid w:val="00F06026"/>
    <w:rsid w:val="00F068F3"/>
    <w:rsid w:val="00F06DB5"/>
    <w:rsid w:val="00F06F92"/>
    <w:rsid w:val="00F072C0"/>
    <w:rsid w:val="00F1053D"/>
    <w:rsid w:val="00F10BF7"/>
    <w:rsid w:val="00F10E20"/>
    <w:rsid w:val="00F110DD"/>
    <w:rsid w:val="00F1111A"/>
    <w:rsid w:val="00F11249"/>
    <w:rsid w:val="00F11708"/>
    <w:rsid w:val="00F118CC"/>
    <w:rsid w:val="00F118DE"/>
    <w:rsid w:val="00F11A84"/>
    <w:rsid w:val="00F1217D"/>
    <w:rsid w:val="00F12C13"/>
    <w:rsid w:val="00F13182"/>
    <w:rsid w:val="00F138AE"/>
    <w:rsid w:val="00F13D53"/>
    <w:rsid w:val="00F13D57"/>
    <w:rsid w:val="00F14863"/>
    <w:rsid w:val="00F14B3D"/>
    <w:rsid w:val="00F14B8B"/>
    <w:rsid w:val="00F14E9F"/>
    <w:rsid w:val="00F153ED"/>
    <w:rsid w:val="00F1621D"/>
    <w:rsid w:val="00F16508"/>
    <w:rsid w:val="00F16802"/>
    <w:rsid w:val="00F16AAC"/>
    <w:rsid w:val="00F16FEC"/>
    <w:rsid w:val="00F1730E"/>
    <w:rsid w:val="00F179F6"/>
    <w:rsid w:val="00F20216"/>
    <w:rsid w:val="00F20619"/>
    <w:rsid w:val="00F20FFF"/>
    <w:rsid w:val="00F2100B"/>
    <w:rsid w:val="00F21216"/>
    <w:rsid w:val="00F218E2"/>
    <w:rsid w:val="00F21B7D"/>
    <w:rsid w:val="00F21FBE"/>
    <w:rsid w:val="00F22101"/>
    <w:rsid w:val="00F224C2"/>
    <w:rsid w:val="00F22C75"/>
    <w:rsid w:val="00F23E2C"/>
    <w:rsid w:val="00F23F0F"/>
    <w:rsid w:val="00F240A7"/>
    <w:rsid w:val="00F2410A"/>
    <w:rsid w:val="00F24595"/>
    <w:rsid w:val="00F2502D"/>
    <w:rsid w:val="00F25D88"/>
    <w:rsid w:val="00F25FAE"/>
    <w:rsid w:val="00F25FF8"/>
    <w:rsid w:val="00F26013"/>
    <w:rsid w:val="00F2613E"/>
    <w:rsid w:val="00F26A9E"/>
    <w:rsid w:val="00F26EE2"/>
    <w:rsid w:val="00F26F4F"/>
    <w:rsid w:val="00F27B96"/>
    <w:rsid w:val="00F30777"/>
    <w:rsid w:val="00F30789"/>
    <w:rsid w:val="00F3117D"/>
    <w:rsid w:val="00F31A5D"/>
    <w:rsid w:val="00F31B8E"/>
    <w:rsid w:val="00F32037"/>
    <w:rsid w:val="00F327BC"/>
    <w:rsid w:val="00F32B95"/>
    <w:rsid w:val="00F32C3E"/>
    <w:rsid w:val="00F33696"/>
    <w:rsid w:val="00F33A2D"/>
    <w:rsid w:val="00F33F8D"/>
    <w:rsid w:val="00F34539"/>
    <w:rsid w:val="00F34F94"/>
    <w:rsid w:val="00F34F9A"/>
    <w:rsid w:val="00F35701"/>
    <w:rsid w:val="00F35D51"/>
    <w:rsid w:val="00F3603F"/>
    <w:rsid w:val="00F36236"/>
    <w:rsid w:val="00F3624E"/>
    <w:rsid w:val="00F37ACC"/>
    <w:rsid w:val="00F40037"/>
    <w:rsid w:val="00F4059F"/>
    <w:rsid w:val="00F4066F"/>
    <w:rsid w:val="00F40E10"/>
    <w:rsid w:val="00F410EB"/>
    <w:rsid w:val="00F42036"/>
    <w:rsid w:val="00F4212C"/>
    <w:rsid w:val="00F42916"/>
    <w:rsid w:val="00F42C95"/>
    <w:rsid w:val="00F43072"/>
    <w:rsid w:val="00F43CA5"/>
    <w:rsid w:val="00F43F2D"/>
    <w:rsid w:val="00F4534B"/>
    <w:rsid w:val="00F4542A"/>
    <w:rsid w:val="00F455EA"/>
    <w:rsid w:val="00F45634"/>
    <w:rsid w:val="00F460DB"/>
    <w:rsid w:val="00F461F9"/>
    <w:rsid w:val="00F46741"/>
    <w:rsid w:val="00F46809"/>
    <w:rsid w:val="00F46DE7"/>
    <w:rsid w:val="00F4744C"/>
    <w:rsid w:val="00F4749C"/>
    <w:rsid w:val="00F4753E"/>
    <w:rsid w:val="00F47CE9"/>
    <w:rsid w:val="00F5016C"/>
    <w:rsid w:val="00F504DC"/>
    <w:rsid w:val="00F50837"/>
    <w:rsid w:val="00F50871"/>
    <w:rsid w:val="00F50E31"/>
    <w:rsid w:val="00F51078"/>
    <w:rsid w:val="00F510E3"/>
    <w:rsid w:val="00F511B8"/>
    <w:rsid w:val="00F51267"/>
    <w:rsid w:val="00F514BA"/>
    <w:rsid w:val="00F51761"/>
    <w:rsid w:val="00F51B2F"/>
    <w:rsid w:val="00F52009"/>
    <w:rsid w:val="00F520D8"/>
    <w:rsid w:val="00F521D2"/>
    <w:rsid w:val="00F527E7"/>
    <w:rsid w:val="00F5290C"/>
    <w:rsid w:val="00F52C46"/>
    <w:rsid w:val="00F52CC7"/>
    <w:rsid w:val="00F52F23"/>
    <w:rsid w:val="00F53242"/>
    <w:rsid w:val="00F5353C"/>
    <w:rsid w:val="00F53665"/>
    <w:rsid w:val="00F537AA"/>
    <w:rsid w:val="00F53B71"/>
    <w:rsid w:val="00F53DB4"/>
    <w:rsid w:val="00F541F1"/>
    <w:rsid w:val="00F553CC"/>
    <w:rsid w:val="00F55403"/>
    <w:rsid w:val="00F55B7B"/>
    <w:rsid w:val="00F568C5"/>
    <w:rsid w:val="00F56CF2"/>
    <w:rsid w:val="00F57A1C"/>
    <w:rsid w:val="00F57AC3"/>
    <w:rsid w:val="00F57E43"/>
    <w:rsid w:val="00F602E1"/>
    <w:rsid w:val="00F603DE"/>
    <w:rsid w:val="00F60D48"/>
    <w:rsid w:val="00F6101D"/>
    <w:rsid w:val="00F6148E"/>
    <w:rsid w:val="00F61DB3"/>
    <w:rsid w:val="00F62818"/>
    <w:rsid w:val="00F62819"/>
    <w:rsid w:val="00F6284A"/>
    <w:rsid w:val="00F63625"/>
    <w:rsid w:val="00F637BF"/>
    <w:rsid w:val="00F6408C"/>
    <w:rsid w:val="00F647C3"/>
    <w:rsid w:val="00F64878"/>
    <w:rsid w:val="00F64C10"/>
    <w:rsid w:val="00F64D7B"/>
    <w:rsid w:val="00F653B1"/>
    <w:rsid w:val="00F65637"/>
    <w:rsid w:val="00F656F2"/>
    <w:rsid w:val="00F66575"/>
    <w:rsid w:val="00F66771"/>
    <w:rsid w:val="00F66F9F"/>
    <w:rsid w:val="00F709AB"/>
    <w:rsid w:val="00F70C07"/>
    <w:rsid w:val="00F7152F"/>
    <w:rsid w:val="00F71760"/>
    <w:rsid w:val="00F71807"/>
    <w:rsid w:val="00F72004"/>
    <w:rsid w:val="00F72077"/>
    <w:rsid w:val="00F72B1B"/>
    <w:rsid w:val="00F72D5E"/>
    <w:rsid w:val="00F73175"/>
    <w:rsid w:val="00F73237"/>
    <w:rsid w:val="00F73831"/>
    <w:rsid w:val="00F742DA"/>
    <w:rsid w:val="00F7486B"/>
    <w:rsid w:val="00F74AF4"/>
    <w:rsid w:val="00F74E4F"/>
    <w:rsid w:val="00F7500A"/>
    <w:rsid w:val="00F7548F"/>
    <w:rsid w:val="00F75ED4"/>
    <w:rsid w:val="00F76C35"/>
    <w:rsid w:val="00F76EE5"/>
    <w:rsid w:val="00F76F77"/>
    <w:rsid w:val="00F7708F"/>
    <w:rsid w:val="00F77B27"/>
    <w:rsid w:val="00F80AC9"/>
    <w:rsid w:val="00F81145"/>
    <w:rsid w:val="00F8171B"/>
    <w:rsid w:val="00F81809"/>
    <w:rsid w:val="00F81932"/>
    <w:rsid w:val="00F81B30"/>
    <w:rsid w:val="00F81B42"/>
    <w:rsid w:val="00F82C93"/>
    <w:rsid w:val="00F82E75"/>
    <w:rsid w:val="00F83275"/>
    <w:rsid w:val="00F8361C"/>
    <w:rsid w:val="00F83782"/>
    <w:rsid w:val="00F840EB"/>
    <w:rsid w:val="00F843B3"/>
    <w:rsid w:val="00F845D3"/>
    <w:rsid w:val="00F84801"/>
    <w:rsid w:val="00F849FB"/>
    <w:rsid w:val="00F85CD7"/>
    <w:rsid w:val="00F85DA2"/>
    <w:rsid w:val="00F85FE0"/>
    <w:rsid w:val="00F864F7"/>
    <w:rsid w:val="00F86832"/>
    <w:rsid w:val="00F86A09"/>
    <w:rsid w:val="00F86A79"/>
    <w:rsid w:val="00F86DCB"/>
    <w:rsid w:val="00F87033"/>
    <w:rsid w:val="00F875E6"/>
    <w:rsid w:val="00F87A44"/>
    <w:rsid w:val="00F87BAD"/>
    <w:rsid w:val="00F907EB"/>
    <w:rsid w:val="00F91025"/>
    <w:rsid w:val="00F91535"/>
    <w:rsid w:val="00F91592"/>
    <w:rsid w:val="00F9165A"/>
    <w:rsid w:val="00F91823"/>
    <w:rsid w:val="00F920BC"/>
    <w:rsid w:val="00F92943"/>
    <w:rsid w:val="00F92A60"/>
    <w:rsid w:val="00F92FA6"/>
    <w:rsid w:val="00F93D45"/>
    <w:rsid w:val="00F946BA"/>
    <w:rsid w:val="00F94702"/>
    <w:rsid w:val="00F94738"/>
    <w:rsid w:val="00F95DE1"/>
    <w:rsid w:val="00F96232"/>
    <w:rsid w:val="00F96252"/>
    <w:rsid w:val="00F963B8"/>
    <w:rsid w:val="00F968F6"/>
    <w:rsid w:val="00F96999"/>
    <w:rsid w:val="00F96D04"/>
    <w:rsid w:val="00F96F5C"/>
    <w:rsid w:val="00F974C0"/>
    <w:rsid w:val="00F97C9E"/>
    <w:rsid w:val="00F97F6B"/>
    <w:rsid w:val="00FA0DE5"/>
    <w:rsid w:val="00FA0E73"/>
    <w:rsid w:val="00FA1112"/>
    <w:rsid w:val="00FA15A4"/>
    <w:rsid w:val="00FA15F8"/>
    <w:rsid w:val="00FA1937"/>
    <w:rsid w:val="00FA1B70"/>
    <w:rsid w:val="00FA1F45"/>
    <w:rsid w:val="00FA212B"/>
    <w:rsid w:val="00FA2AED"/>
    <w:rsid w:val="00FA2CA0"/>
    <w:rsid w:val="00FA30C5"/>
    <w:rsid w:val="00FA328A"/>
    <w:rsid w:val="00FA32B0"/>
    <w:rsid w:val="00FA33EB"/>
    <w:rsid w:val="00FA41D6"/>
    <w:rsid w:val="00FA4594"/>
    <w:rsid w:val="00FA466E"/>
    <w:rsid w:val="00FA4E19"/>
    <w:rsid w:val="00FA564A"/>
    <w:rsid w:val="00FA61E6"/>
    <w:rsid w:val="00FA6242"/>
    <w:rsid w:val="00FA67E5"/>
    <w:rsid w:val="00FA6989"/>
    <w:rsid w:val="00FA6B78"/>
    <w:rsid w:val="00FA7768"/>
    <w:rsid w:val="00FA795B"/>
    <w:rsid w:val="00FB0205"/>
    <w:rsid w:val="00FB03D3"/>
    <w:rsid w:val="00FB0D17"/>
    <w:rsid w:val="00FB0DBE"/>
    <w:rsid w:val="00FB1138"/>
    <w:rsid w:val="00FB114A"/>
    <w:rsid w:val="00FB1278"/>
    <w:rsid w:val="00FB13D8"/>
    <w:rsid w:val="00FB1688"/>
    <w:rsid w:val="00FB1B90"/>
    <w:rsid w:val="00FB1C8C"/>
    <w:rsid w:val="00FB23E3"/>
    <w:rsid w:val="00FB2937"/>
    <w:rsid w:val="00FB2E04"/>
    <w:rsid w:val="00FB35E3"/>
    <w:rsid w:val="00FB3F4D"/>
    <w:rsid w:val="00FB4151"/>
    <w:rsid w:val="00FB4273"/>
    <w:rsid w:val="00FB42C0"/>
    <w:rsid w:val="00FB4869"/>
    <w:rsid w:val="00FB4894"/>
    <w:rsid w:val="00FB5036"/>
    <w:rsid w:val="00FB5396"/>
    <w:rsid w:val="00FB5485"/>
    <w:rsid w:val="00FB5832"/>
    <w:rsid w:val="00FB5FA5"/>
    <w:rsid w:val="00FB5FE8"/>
    <w:rsid w:val="00FB6250"/>
    <w:rsid w:val="00FB62BC"/>
    <w:rsid w:val="00FB6AD2"/>
    <w:rsid w:val="00FB6AFB"/>
    <w:rsid w:val="00FB7258"/>
    <w:rsid w:val="00FB7958"/>
    <w:rsid w:val="00FB7AC6"/>
    <w:rsid w:val="00FB7D27"/>
    <w:rsid w:val="00FB7F1E"/>
    <w:rsid w:val="00FB7FB4"/>
    <w:rsid w:val="00FC0242"/>
    <w:rsid w:val="00FC09A5"/>
    <w:rsid w:val="00FC10F7"/>
    <w:rsid w:val="00FC1677"/>
    <w:rsid w:val="00FC197D"/>
    <w:rsid w:val="00FC2272"/>
    <w:rsid w:val="00FC2273"/>
    <w:rsid w:val="00FC2336"/>
    <w:rsid w:val="00FC2883"/>
    <w:rsid w:val="00FC3480"/>
    <w:rsid w:val="00FC35D7"/>
    <w:rsid w:val="00FC36F8"/>
    <w:rsid w:val="00FC3E12"/>
    <w:rsid w:val="00FC43BB"/>
    <w:rsid w:val="00FC4619"/>
    <w:rsid w:val="00FC4970"/>
    <w:rsid w:val="00FC4ED1"/>
    <w:rsid w:val="00FC5581"/>
    <w:rsid w:val="00FC5966"/>
    <w:rsid w:val="00FC5CC8"/>
    <w:rsid w:val="00FC5DF9"/>
    <w:rsid w:val="00FC5ECA"/>
    <w:rsid w:val="00FC626B"/>
    <w:rsid w:val="00FC6883"/>
    <w:rsid w:val="00FC6E17"/>
    <w:rsid w:val="00FC70F4"/>
    <w:rsid w:val="00FC74BC"/>
    <w:rsid w:val="00FC7886"/>
    <w:rsid w:val="00FC7AC6"/>
    <w:rsid w:val="00FD0667"/>
    <w:rsid w:val="00FD0E0C"/>
    <w:rsid w:val="00FD13C1"/>
    <w:rsid w:val="00FD1E65"/>
    <w:rsid w:val="00FD1EFE"/>
    <w:rsid w:val="00FD2072"/>
    <w:rsid w:val="00FD2082"/>
    <w:rsid w:val="00FD21F9"/>
    <w:rsid w:val="00FD2DB1"/>
    <w:rsid w:val="00FD2E61"/>
    <w:rsid w:val="00FD3211"/>
    <w:rsid w:val="00FD36DF"/>
    <w:rsid w:val="00FD370C"/>
    <w:rsid w:val="00FD40EA"/>
    <w:rsid w:val="00FD421F"/>
    <w:rsid w:val="00FD4487"/>
    <w:rsid w:val="00FD47B6"/>
    <w:rsid w:val="00FD5727"/>
    <w:rsid w:val="00FD583A"/>
    <w:rsid w:val="00FD5843"/>
    <w:rsid w:val="00FD5B59"/>
    <w:rsid w:val="00FD5CDD"/>
    <w:rsid w:val="00FD626C"/>
    <w:rsid w:val="00FD69A1"/>
    <w:rsid w:val="00FD6B27"/>
    <w:rsid w:val="00FD6C4E"/>
    <w:rsid w:val="00FD6DB1"/>
    <w:rsid w:val="00FD6E10"/>
    <w:rsid w:val="00FD6EFC"/>
    <w:rsid w:val="00FD71FD"/>
    <w:rsid w:val="00FD7862"/>
    <w:rsid w:val="00FD7B07"/>
    <w:rsid w:val="00FE010F"/>
    <w:rsid w:val="00FE0427"/>
    <w:rsid w:val="00FE05DB"/>
    <w:rsid w:val="00FE0A39"/>
    <w:rsid w:val="00FE0C09"/>
    <w:rsid w:val="00FE0F38"/>
    <w:rsid w:val="00FE1779"/>
    <w:rsid w:val="00FE1795"/>
    <w:rsid w:val="00FE18CF"/>
    <w:rsid w:val="00FE21C9"/>
    <w:rsid w:val="00FE22F8"/>
    <w:rsid w:val="00FE2BA5"/>
    <w:rsid w:val="00FE2ECE"/>
    <w:rsid w:val="00FE32FE"/>
    <w:rsid w:val="00FE3B1D"/>
    <w:rsid w:val="00FE3D00"/>
    <w:rsid w:val="00FE4A8A"/>
    <w:rsid w:val="00FE4B48"/>
    <w:rsid w:val="00FE512E"/>
    <w:rsid w:val="00FE5BED"/>
    <w:rsid w:val="00FE5C85"/>
    <w:rsid w:val="00FE5DBE"/>
    <w:rsid w:val="00FE61CA"/>
    <w:rsid w:val="00FE7CAF"/>
    <w:rsid w:val="00FF0158"/>
    <w:rsid w:val="00FF031B"/>
    <w:rsid w:val="00FF0B8D"/>
    <w:rsid w:val="00FF11B3"/>
    <w:rsid w:val="00FF120F"/>
    <w:rsid w:val="00FF217A"/>
    <w:rsid w:val="00FF267C"/>
    <w:rsid w:val="00FF2893"/>
    <w:rsid w:val="00FF28C0"/>
    <w:rsid w:val="00FF323E"/>
    <w:rsid w:val="00FF371C"/>
    <w:rsid w:val="00FF3ACA"/>
    <w:rsid w:val="00FF41DB"/>
    <w:rsid w:val="00FF46D3"/>
    <w:rsid w:val="00FF47A8"/>
    <w:rsid w:val="00FF4E33"/>
    <w:rsid w:val="00FF5224"/>
    <w:rsid w:val="00FF58C5"/>
    <w:rsid w:val="00FF5A4B"/>
    <w:rsid w:val="00FF5CFD"/>
    <w:rsid w:val="00FF607E"/>
    <w:rsid w:val="00FF68B5"/>
    <w:rsid w:val="00FF7A83"/>
    <w:rsid w:val="012D7F74"/>
    <w:rsid w:val="013D7CD6"/>
    <w:rsid w:val="01742554"/>
    <w:rsid w:val="01871815"/>
    <w:rsid w:val="01A33728"/>
    <w:rsid w:val="01A80CD7"/>
    <w:rsid w:val="01AF70E0"/>
    <w:rsid w:val="01B0549D"/>
    <w:rsid w:val="021A19C6"/>
    <w:rsid w:val="02B14B81"/>
    <w:rsid w:val="02F91B0A"/>
    <w:rsid w:val="037A53DD"/>
    <w:rsid w:val="038556E9"/>
    <w:rsid w:val="03A15251"/>
    <w:rsid w:val="03A30F8C"/>
    <w:rsid w:val="03AA0A1A"/>
    <w:rsid w:val="03EA058D"/>
    <w:rsid w:val="041906DA"/>
    <w:rsid w:val="042205D3"/>
    <w:rsid w:val="04235798"/>
    <w:rsid w:val="047652F0"/>
    <w:rsid w:val="04A43EF2"/>
    <w:rsid w:val="050B1C97"/>
    <w:rsid w:val="051E211D"/>
    <w:rsid w:val="053062C4"/>
    <w:rsid w:val="05636735"/>
    <w:rsid w:val="057563B4"/>
    <w:rsid w:val="058B703F"/>
    <w:rsid w:val="067F6750"/>
    <w:rsid w:val="06925FA4"/>
    <w:rsid w:val="06C0155F"/>
    <w:rsid w:val="06C601F8"/>
    <w:rsid w:val="06C86451"/>
    <w:rsid w:val="074D4F6F"/>
    <w:rsid w:val="07FD5C82"/>
    <w:rsid w:val="08BF4761"/>
    <w:rsid w:val="096555D1"/>
    <w:rsid w:val="09AD57C5"/>
    <w:rsid w:val="09E37475"/>
    <w:rsid w:val="0A3C5D00"/>
    <w:rsid w:val="0AE01890"/>
    <w:rsid w:val="0BC7084B"/>
    <w:rsid w:val="0BEA5487"/>
    <w:rsid w:val="0C0F5F13"/>
    <w:rsid w:val="0C2F39EA"/>
    <w:rsid w:val="0C820D13"/>
    <w:rsid w:val="0CC615EA"/>
    <w:rsid w:val="0CCC57A4"/>
    <w:rsid w:val="0D45167D"/>
    <w:rsid w:val="0D5E657A"/>
    <w:rsid w:val="0D8572C8"/>
    <w:rsid w:val="0E561C2C"/>
    <w:rsid w:val="0E831679"/>
    <w:rsid w:val="0EA6378C"/>
    <w:rsid w:val="0EC34CF8"/>
    <w:rsid w:val="0ECC3F65"/>
    <w:rsid w:val="0ED61A0F"/>
    <w:rsid w:val="0F150577"/>
    <w:rsid w:val="0F3E19CE"/>
    <w:rsid w:val="0F4E292F"/>
    <w:rsid w:val="0F8F3EF5"/>
    <w:rsid w:val="0FA302A8"/>
    <w:rsid w:val="0FC6166D"/>
    <w:rsid w:val="10FB6EE9"/>
    <w:rsid w:val="11E25AC5"/>
    <w:rsid w:val="121F7258"/>
    <w:rsid w:val="127D3331"/>
    <w:rsid w:val="128A0278"/>
    <w:rsid w:val="12D42C92"/>
    <w:rsid w:val="12DE6929"/>
    <w:rsid w:val="134F24BD"/>
    <w:rsid w:val="137141F5"/>
    <w:rsid w:val="1372571B"/>
    <w:rsid w:val="13963276"/>
    <w:rsid w:val="13A04A45"/>
    <w:rsid w:val="13D352BD"/>
    <w:rsid w:val="148B3073"/>
    <w:rsid w:val="149E6505"/>
    <w:rsid w:val="14CB60D9"/>
    <w:rsid w:val="14EA6661"/>
    <w:rsid w:val="14F835C4"/>
    <w:rsid w:val="15657863"/>
    <w:rsid w:val="157878F5"/>
    <w:rsid w:val="157E7537"/>
    <w:rsid w:val="15905A6E"/>
    <w:rsid w:val="15C36587"/>
    <w:rsid w:val="160F2D2B"/>
    <w:rsid w:val="17914DE4"/>
    <w:rsid w:val="186D2937"/>
    <w:rsid w:val="18FE6CA9"/>
    <w:rsid w:val="19130C13"/>
    <w:rsid w:val="191456BE"/>
    <w:rsid w:val="19956C9C"/>
    <w:rsid w:val="19A436D1"/>
    <w:rsid w:val="1A754C6B"/>
    <w:rsid w:val="1AD52736"/>
    <w:rsid w:val="1BB467C0"/>
    <w:rsid w:val="1BCF0287"/>
    <w:rsid w:val="1C060F4E"/>
    <w:rsid w:val="1C6E15B7"/>
    <w:rsid w:val="1C712667"/>
    <w:rsid w:val="1C83750A"/>
    <w:rsid w:val="1C847D2E"/>
    <w:rsid w:val="1C8D53DE"/>
    <w:rsid w:val="1D330838"/>
    <w:rsid w:val="1DAF753B"/>
    <w:rsid w:val="1DC14D27"/>
    <w:rsid w:val="1DC93F70"/>
    <w:rsid w:val="1E563055"/>
    <w:rsid w:val="1E6A477E"/>
    <w:rsid w:val="1EB0169B"/>
    <w:rsid w:val="1F853679"/>
    <w:rsid w:val="20EB70C4"/>
    <w:rsid w:val="213125C2"/>
    <w:rsid w:val="213450AF"/>
    <w:rsid w:val="21605809"/>
    <w:rsid w:val="2199457A"/>
    <w:rsid w:val="22262230"/>
    <w:rsid w:val="22395A22"/>
    <w:rsid w:val="226B23F8"/>
    <w:rsid w:val="22920D81"/>
    <w:rsid w:val="236F602A"/>
    <w:rsid w:val="23C5177C"/>
    <w:rsid w:val="24210CC9"/>
    <w:rsid w:val="24AF233A"/>
    <w:rsid w:val="24D166FE"/>
    <w:rsid w:val="257162D7"/>
    <w:rsid w:val="258A0532"/>
    <w:rsid w:val="26280A90"/>
    <w:rsid w:val="263B17C8"/>
    <w:rsid w:val="264A4A7F"/>
    <w:rsid w:val="26702F80"/>
    <w:rsid w:val="270248EE"/>
    <w:rsid w:val="27960735"/>
    <w:rsid w:val="27AB69E8"/>
    <w:rsid w:val="27E53836"/>
    <w:rsid w:val="285B7BE5"/>
    <w:rsid w:val="28934447"/>
    <w:rsid w:val="289D3148"/>
    <w:rsid w:val="292245CD"/>
    <w:rsid w:val="2932359B"/>
    <w:rsid w:val="293D5749"/>
    <w:rsid w:val="294A6BE9"/>
    <w:rsid w:val="29930224"/>
    <w:rsid w:val="299A6B65"/>
    <w:rsid w:val="29B716FD"/>
    <w:rsid w:val="29F26BAA"/>
    <w:rsid w:val="2A023BF4"/>
    <w:rsid w:val="2A3D23FB"/>
    <w:rsid w:val="2A3F4904"/>
    <w:rsid w:val="2A8642AB"/>
    <w:rsid w:val="2B0C47B6"/>
    <w:rsid w:val="2B787189"/>
    <w:rsid w:val="2B830D8B"/>
    <w:rsid w:val="2B966C8C"/>
    <w:rsid w:val="2B993C69"/>
    <w:rsid w:val="2BA33739"/>
    <w:rsid w:val="2BB609A7"/>
    <w:rsid w:val="2C3F036D"/>
    <w:rsid w:val="2C4B35CD"/>
    <w:rsid w:val="2C4E55AA"/>
    <w:rsid w:val="2C655265"/>
    <w:rsid w:val="2C672FBE"/>
    <w:rsid w:val="2C8E2213"/>
    <w:rsid w:val="2D3E72A1"/>
    <w:rsid w:val="2D975926"/>
    <w:rsid w:val="2E011A67"/>
    <w:rsid w:val="2E520B11"/>
    <w:rsid w:val="2ED64273"/>
    <w:rsid w:val="2F175A20"/>
    <w:rsid w:val="2F7C30B5"/>
    <w:rsid w:val="2F87138A"/>
    <w:rsid w:val="2F995762"/>
    <w:rsid w:val="2FAE565D"/>
    <w:rsid w:val="2FBB2F70"/>
    <w:rsid w:val="2FC86663"/>
    <w:rsid w:val="300120E1"/>
    <w:rsid w:val="30404937"/>
    <w:rsid w:val="310C4E8B"/>
    <w:rsid w:val="329D18F0"/>
    <w:rsid w:val="332076AE"/>
    <w:rsid w:val="333A1D5C"/>
    <w:rsid w:val="33A2450C"/>
    <w:rsid w:val="345E0B20"/>
    <w:rsid w:val="34F0562A"/>
    <w:rsid w:val="35054EDE"/>
    <w:rsid w:val="35A14ADE"/>
    <w:rsid w:val="35E37F24"/>
    <w:rsid w:val="35F01DA0"/>
    <w:rsid w:val="36411DD5"/>
    <w:rsid w:val="36BB73B6"/>
    <w:rsid w:val="372C1427"/>
    <w:rsid w:val="37384EA5"/>
    <w:rsid w:val="3767118B"/>
    <w:rsid w:val="37756724"/>
    <w:rsid w:val="37B44AA0"/>
    <w:rsid w:val="37BC63D4"/>
    <w:rsid w:val="384E72BB"/>
    <w:rsid w:val="38614AA8"/>
    <w:rsid w:val="386B2C19"/>
    <w:rsid w:val="38894D71"/>
    <w:rsid w:val="3A8A1518"/>
    <w:rsid w:val="3AFF36EC"/>
    <w:rsid w:val="3C0E4221"/>
    <w:rsid w:val="3C811F9B"/>
    <w:rsid w:val="3DB64068"/>
    <w:rsid w:val="3DEA304E"/>
    <w:rsid w:val="3E452753"/>
    <w:rsid w:val="3E525F2C"/>
    <w:rsid w:val="3E8801CC"/>
    <w:rsid w:val="3ED42C48"/>
    <w:rsid w:val="3F1D0F09"/>
    <w:rsid w:val="3F823162"/>
    <w:rsid w:val="40290EBC"/>
    <w:rsid w:val="40A452D3"/>
    <w:rsid w:val="40B5679F"/>
    <w:rsid w:val="40D87D6D"/>
    <w:rsid w:val="414C00E0"/>
    <w:rsid w:val="42407823"/>
    <w:rsid w:val="42611B47"/>
    <w:rsid w:val="428C4F8C"/>
    <w:rsid w:val="42C548F6"/>
    <w:rsid w:val="438956AE"/>
    <w:rsid w:val="43904CB5"/>
    <w:rsid w:val="43CD5C49"/>
    <w:rsid w:val="4491673A"/>
    <w:rsid w:val="44A3777A"/>
    <w:rsid w:val="44CC78FA"/>
    <w:rsid w:val="45154A37"/>
    <w:rsid w:val="454D60BB"/>
    <w:rsid w:val="45781AF3"/>
    <w:rsid w:val="45C36A3D"/>
    <w:rsid w:val="45D75A33"/>
    <w:rsid w:val="45FE6C34"/>
    <w:rsid w:val="46002540"/>
    <w:rsid w:val="461F0362"/>
    <w:rsid w:val="46256F4C"/>
    <w:rsid w:val="465828CD"/>
    <w:rsid w:val="46EF436A"/>
    <w:rsid w:val="46F45962"/>
    <w:rsid w:val="47B81A5C"/>
    <w:rsid w:val="47DF5308"/>
    <w:rsid w:val="48305326"/>
    <w:rsid w:val="485A5868"/>
    <w:rsid w:val="486E7DC2"/>
    <w:rsid w:val="48FF2A7E"/>
    <w:rsid w:val="49154455"/>
    <w:rsid w:val="49A76DA4"/>
    <w:rsid w:val="49BF6D61"/>
    <w:rsid w:val="49DA5ECD"/>
    <w:rsid w:val="4A431D94"/>
    <w:rsid w:val="4A886534"/>
    <w:rsid w:val="4A9706DF"/>
    <w:rsid w:val="4AA27B32"/>
    <w:rsid w:val="4ADF4C6F"/>
    <w:rsid w:val="4B1D082A"/>
    <w:rsid w:val="4B697E73"/>
    <w:rsid w:val="4B811D17"/>
    <w:rsid w:val="4C1F7064"/>
    <w:rsid w:val="4C413EAB"/>
    <w:rsid w:val="4CC34298"/>
    <w:rsid w:val="4D764FCD"/>
    <w:rsid w:val="4D8673CF"/>
    <w:rsid w:val="4DB341E7"/>
    <w:rsid w:val="4DD63239"/>
    <w:rsid w:val="4EC60AEE"/>
    <w:rsid w:val="4F431EE5"/>
    <w:rsid w:val="4F5F2901"/>
    <w:rsid w:val="4F8F3761"/>
    <w:rsid w:val="4FCA3255"/>
    <w:rsid w:val="500257A2"/>
    <w:rsid w:val="50572416"/>
    <w:rsid w:val="50657328"/>
    <w:rsid w:val="50810AD3"/>
    <w:rsid w:val="5112032A"/>
    <w:rsid w:val="53233045"/>
    <w:rsid w:val="53263418"/>
    <w:rsid w:val="542A1382"/>
    <w:rsid w:val="545461CB"/>
    <w:rsid w:val="5480469E"/>
    <w:rsid w:val="54854620"/>
    <w:rsid w:val="54D24189"/>
    <w:rsid w:val="54DE6054"/>
    <w:rsid w:val="55255E16"/>
    <w:rsid w:val="5541367B"/>
    <w:rsid w:val="556962E2"/>
    <w:rsid w:val="557632C7"/>
    <w:rsid w:val="55BC2AAB"/>
    <w:rsid w:val="55E2021B"/>
    <w:rsid w:val="562E12A9"/>
    <w:rsid w:val="56C50CE6"/>
    <w:rsid w:val="57004E95"/>
    <w:rsid w:val="572B4408"/>
    <w:rsid w:val="57407D05"/>
    <w:rsid w:val="57C91EBC"/>
    <w:rsid w:val="584B7DEC"/>
    <w:rsid w:val="58680996"/>
    <w:rsid w:val="588D6086"/>
    <w:rsid w:val="590D4874"/>
    <w:rsid w:val="593037D7"/>
    <w:rsid w:val="5935570A"/>
    <w:rsid w:val="593D3303"/>
    <w:rsid w:val="59560B77"/>
    <w:rsid w:val="596D487B"/>
    <w:rsid w:val="59946E71"/>
    <w:rsid w:val="59CF2B73"/>
    <w:rsid w:val="59D032A4"/>
    <w:rsid w:val="59D30E65"/>
    <w:rsid w:val="5AC41ACF"/>
    <w:rsid w:val="5AD655AE"/>
    <w:rsid w:val="5B0E6F4B"/>
    <w:rsid w:val="5B1410EF"/>
    <w:rsid w:val="5B275756"/>
    <w:rsid w:val="5B5F2799"/>
    <w:rsid w:val="5B8957CC"/>
    <w:rsid w:val="5BD3476D"/>
    <w:rsid w:val="5C0C3479"/>
    <w:rsid w:val="5C7067C7"/>
    <w:rsid w:val="5CD7176A"/>
    <w:rsid w:val="5CF50149"/>
    <w:rsid w:val="5D027517"/>
    <w:rsid w:val="5D0362DC"/>
    <w:rsid w:val="5D1B466F"/>
    <w:rsid w:val="5D62642D"/>
    <w:rsid w:val="5D7A57EC"/>
    <w:rsid w:val="5DD63106"/>
    <w:rsid w:val="5E243D07"/>
    <w:rsid w:val="5E5B4A40"/>
    <w:rsid w:val="5EA45387"/>
    <w:rsid w:val="5EB12432"/>
    <w:rsid w:val="5F1573BA"/>
    <w:rsid w:val="5F906F73"/>
    <w:rsid w:val="5FBF5477"/>
    <w:rsid w:val="5FD5394A"/>
    <w:rsid w:val="60016F94"/>
    <w:rsid w:val="601E30F2"/>
    <w:rsid w:val="60660C73"/>
    <w:rsid w:val="60D13899"/>
    <w:rsid w:val="61C636AD"/>
    <w:rsid w:val="61D7741C"/>
    <w:rsid w:val="6214314E"/>
    <w:rsid w:val="62CA4AE1"/>
    <w:rsid w:val="63A44A7A"/>
    <w:rsid w:val="64461E4B"/>
    <w:rsid w:val="64491335"/>
    <w:rsid w:val="64AE0329"/>
    <w:rsid w:val="652462DD"/>
    <w:rsid w:val="6537463B"/>
    <w:rsid w:val="65931931"/>
    <w:rsid w:val="65BF2793"/>
    <w:rsid w:val="65C2752F"/>
    <w:rsid w:val="65C63A60"/>
    <w:rsid w:val="65D052CA"/>
    <w:rsid w:val="66EF69F1"/>
    <w:rsid w:val="67410BBB"/>
    <w:rsid w:val="67655314"/>
    <w:rsid w:val="676F7C3D"/>
    <w:rsid w:val="67AA5A17"/>
    <w:rsid w:val="67AA5F0D"/>
    <w:rsid w:val="680C0D5F"/>
    <w:rsid w:val="682418EE"/>
    <w:rsid w:val="69254AB7"/>
    <w:rsid w:val="69912834"/>
    <w:rsid w:val="69B02D1C"/>
    <w:rsid w:val="6A854D30"/>
    <w:rsid w:val="6B017EFF"/>
    <w:rsid w:val="6B1E62B0"/>
    <w:rsid w:val="6B7A6AB7"/>
    <w:rsid w:val="6B825AC8"/>
    <w:rsid w:val="6B830EE6"/>
    <w:rsid w:val="6BC3458D"/>
    <w:rsid w:val="6BED3609"/>
    <w:rsid w:val="6C6448F9"/>
    <w:rsid w:val="6C6F52A9"/>
    <w:rsid w:val="6C7E3B17"/>
    <w:rsid w:val="6C84777F"/>
    <w:rsid w:val="6D096F9E"/>
    <w:rsid w:val="6D1E1050"/>
    <w:rsid w:val="6D24388B"/>
    <w:rsid w:val="6D822245"/>
    <w:rsid w:val="6E0E722C"/>
    <w:rsid w:val="6E1E49E8"/>
    <w:rsid w:val="6E49146B"/>
    <w:rsid w:val="6E856157"/>
    <w:rsid w:val="6ECE0D06"/>
    <w:rsid w:val="6ED82DF6"/>
    <w:rsid w:val="6F282F65"/>
    <w:rsid w:val="6F622F2D"/>
    <w:rsid w:val="6F6D7440"/>
    <w:rsid w:val="6F787A45"/>
    <w:rsid w:val="6FE72EAB"/>
    <w:rsid w:val="6FF54642"/>
    <w:rsid w:val="70541DB0"/>
    <w:rsid w:val="707C116D"/>
    <w:rsid w:val="70A102C0"/>
    <w:rsid w:val="71EC3F2E"/>
    <w:rsid w:val="71F0286F"/>
    <w:rsid w:val="721C790A"/>
    <w:rsid w:val="72270389"/>
    <w:rsid w:val="723A32DB"/>
    <w:rsid w:val="72493109"/>
    <w:rsid w:val="72712247"/>
    <w:rsid w:val="72CF2F66"/>
    <w:rsid w:val="72D0361D"/>
    <w:rsid w:val="739C1A26"/>
    <w:rsid w:val="73CB4AAB"/>
    <w:rsid w:val="73D5135C"/>
    <w:rsid w:val="73ED62A6"/>
    <w:rsid w:val="73FC0123"/>
    <w:rsid w:val="7414554B"/>
    <w:rsid w:val="74273421"/>
    <w:rsid w:val="744D42D9"/>
    <w:rsid w:val="74814DF8"/>
    <w:rsid w:val="74E50152"/>
    <w:rsid w:val="74EC32DD"/>
    <w:rsid w:val="74F15D0B"/>
    <w:rsid w:val="74F7611E"/>
    <w:rsid w:val="75BA63B1"/>
    <w:rsid w:val="76052AB2"/>
    <w:rsid w:val="76270741"/>
    <w:rsid w:val="764A3214"/>
    <w:rsid w:val="76530BF6"/>
    <w:rsid w:val="765728DE"/>
    <w:rsid w:val="76870972"/>
    <w:rsid w:val="76B31C37"/>
    <w:rsid w:val="771270AE"/>
    <w:rsid w:val="775827DA"/>
    <w:rsid w:val="7770303E"/>
    <w:rsid w:val="78131CD5"/>
    <w:rsid w:val="78364EBA"/>
    <w:rsid w:val="78626D70"/>
    <w:rsid w:val="78B72BC6"/>
    <w:rsid w:val="79022643"/>
    <w:rsid w:val="79302286"/>
    <w:rsid w:val="79751EEB"/>
    <w:rsid w:val="79C6303C"/>
    <w:rsid w:val="79F14246"/>
    <w:rsid w:val="7A524E7F"/>
    <w:rsid w:val="7ADE1BB2"/>
    <w:rsid w:val="7AE9346C"/>
    <w:rsid w:val="7B341A4B"/>
    <w:rsid w:val="7B592F64"/>
    <w:rsid w:val="7B722074"/>
    <w:rsid w:val="7B8C40E7"/>
    <w:rsid w:val="7BEB7978"/>
    <w:rsid w:val="7C161B28"/>
    <w:rsid w:val="7C897AFC"/>
    <w:rsid w:val="7C9578C9"/>
    <w:rsid w:val="7C9B5F16"/>
    <w:rsid w:val="7CBA4DFC"/>
    <w:rsid w:val="7CC96C08"/>
    <w:rsid w:val="7CDA0665"/>
    <w:rsid w:val="7CEF7488"/>
    <w:rsid w:val="7CF007AB"/>
    <w:rsid w:val="7D111B4E"/>
    <w:rsid w:val="7D1D4564"/>
    <w:rsid w:val="7D5E2BCB"/>
    <w:rsid w:val="7E7D46FD"/>
    <w:rsid w:val="7EAB0A30"/>
    <w:rsid w:val="7EB71A92"/>
    <w:rsid w:val="7F8B691C"/>
    <w:rsid w:val="7FE97E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99" w:semiHidden="0" w:name="annotation reference"/>
    <w:lsdException w:unhideWhenUsed="0" w:uiPriority="0" w:semiHidden="0" w:name="line number"/>
    <w:lsdException w:unhideWhenUsed="0" w:uiPriority="0" w:semiHidden="0" w:name="page number"/>
    <w:lsdException w:uiPriority="99"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unhideWhenUsed="0" w:uiPriority="22" w:semiHidden="0" w:name="Strong"/>
    <w:lsdException w:unhideWhenUsed="0" w:uiPriority="20" w:semiHidden="0" w:name="Emphasis"/>
    <w:lsdException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iPriority="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Calibri" w:hAnsi="Calibri" w:eastAsia="宋体" w:cs="Times New Roman"/>
      <w:sz w:val="22"/>
      <w:szCs w:val="22"/>
      <w:lang w:val="en-US" w:eastAsia="en-US" w:bidi="ar-SA"/>
    </w:rPr>
  </w:style>
  <w:style w:type="paragraph" w:styleId="2">
    <w:name w:val="heading 1"/>
    <w:basedOn w:val="1"/>
    <w:next w:val="1"/>
    <w:link w:val="40"/>
    <w:qFormat/>
    <w:uiPriority w:val="0"/>
    <w:pPr>
      <w:keepNext/>
      <w:keepLines/>
      <w:spacing w:before="340" w:after="330" w:line="578" w:lineRule="auto"/>
      <w:jc w:val="both"/>
      <w:outlineLvl w:val="0"/>
    </w:pPr>
    <w:rPr>
      <w:rFonts w:ascii="Times New Roman" w:hAnsi="Times New Roman"/>
      <w:b/>
      <w:bCs/>
      <w:kern w:val="44"/>
      <w:sz w:val="44"/>
      <w:szCs w:val="44"/>
    </w:rPr>
  </w:style>
  <w:style w:type="paragraph" w:styleId="3">
    <w:name w:val="heading 2"/>
    <w:basedOn w:val="1"/>
    <w:next w:val="1"/>
    <w:link w:val="41"/>
    <w:qFormat/>
    <w:uiPriority w:val="99"/>
    <w:pPr>
      <w:widowControl/>
      <w:spacing w:before="100" w:beforeAutospacing="1" w:after="100" w:afterAutospacing="1" w:line="240" w:lineRule="auto"/>
      <w:outlineLvl w:val="1"/>
    </w:pPr>
    <w:rPr>
      <w:rFonts w:ascii="宋体" w:hAnsi="宋体"/>
      <w:b/>
      <w:bCs/>
      <w:sz w:val="36"/>
      <w:szCs w:val="36"/>
    </w:rPr>
  </w:style>
  <w:style w:type="paragraph" w:styleId="4">
    <w:name w:val="heading 3"/>
    <w:basedOn w:val="1"/>
    <w:next w:val="1"/>
    <w:link w:val="42"/>
    <w:qFormat/>
    <w:uiPriority w:val="99"/>
    <w:pPr>
      <w:keepNext/>
      <w:keepLines/>
      <w:spacing w:before="260" w:after="260" w:line="416" w:lineRule="auto"/>
      <w:jc w:val="both"/>
      <w:outlineLvl w:val="2"/>
    </w:pPr>
    <w:rPr>
      <w:rFonts w:ascii="Times New Roman" w:hAnsi="Times New Roman"/>
      <w:b/>
      <w:bCs/>
      <w:kern w:val="2"/>
      <w:sz w:val="32"/>
      <w:szCs w:val="32"/>
    </w:rPr>
  </w:style>
  <w:style w:type="paragraph" w:styleId="5">
    <w:name w:val="heading 4"/>
    <w:basedOn w:val="1"/>
    <w:next w:val="1"/>
    <w:link w:val="43"/>
    <w:qFormat/>
    <w:uiPriority w:val="99"/>
    <w:pPr>
      <w:keepNext/>
      <w:keepLines/>
      <w:spacing w:before="280" w:after="290" w:line="376" w:lineRule="auto"/>
      <w:jc w:val="both"/>
      <w:outlineLvl w:val="3"/>
    </w:pPr>
    <w:rPr>
      <w:rFonts w:ascii="Cambria" w:hAnsi="Cambria"/>
      <w:b/>
      <w:bCs/>
      <w:kern w:val="2"/>
      <w:sz w:val="28"/>
      <w:szCs w:val="28"/>
    </w:rPr>
  </w:style>
  <w:style w:type="paragraph" w:styleId="6">
    <w:name w:val="heading 5"/>
    <w:basedOn w:val="1"/>
    <w:next w:val="1"/>
    <w:link w:val="44"/>
    <w:qFormat/>
    <w:uiPriority w:val="0"/>
    <w:pPr>
      <w:keepNext/>
      <w:keepLines/>
      <w:spacing w:before="280" w:after="290" w:line="374" w:lineRule="auto"/>
      <w:jc w:val="both"/>
      <w:outlineLvl w:val="4"/>
    </w:pPr>
    <w:rPr>
      <w:rFonts w:ascii="Times New Roman" w:hAnsi="Times New Roman"/>
      <w:b/>
      <w:bCs/>
      <w:kern w:val="2"/>
      <w:sz w:val="28"/>
      <w:szCs w:val="28"/>
      <w:lang w:eastAsia="zh-CN"/>
    </w:rPr>
  </w:style>
  <w:style w:type="paragraph" w:styleId="7">
    <w:name w:val="heading 6"/>
    <w:basedOn w:val="1"/>
    <w:next w:val="1"/>
    <w:link w:val="45"/>
    <w:qFormat/>
    <w:uiPriority w:val="99"/>
    <w:pPr>
      <w:keepNext/>
      <w:keepLines/>
      <w:tabs>
        <w:tab w:val="left" w:pos="1152"/>
      </w:tabs>
      <w:spacing w:before="240" w:after="64" w:line="320" w:lineRule="auto"/>
      <w:ind w:left="1152"/>
      <w:jc w:val="both"/>
      <w:outlineLvl w:val="5"/>
    </w:pPr>
    <w:rPr>
      <w:rFonts w:ascii="Arial" w:hAnsi="Arial" w:eastAsia="黑体"/>
      <w:b/>
      <w:kern w:val="2"/>
      <w:sz w:val="24"/>
      <w:szCs w:val="28"/>
      <w:lang w:eastAsia="zh-CN"/>
    </w:rPr>
  </w:style>
  <w:style w:type="paragraph" w:styleId="8">
    <w:name w:val="heading 7"/>
    <w:basedOn w:val="1"/>
    <w:next w:val="1"/>
    <w:link w:val="46"/>
    <w:qFormat/>
    <w:uiPriority w:val="99"/>
    <w:pPr>
      <w:keepNext/>
      <w:keepLines/>
      <w:tabs>
        <w:tab w:val="left" w:pos="1296"/>
      </w:tabs>
      <w:spacing w:before="240" w:after="64" w:line="320" w:lineRule="auto"/>
      <w:ind w:left="1296"/>
      <w:jc w:val="both"/>
      <w:outlineLvl w:val="6"/>
    </w:pPr>
    <w:rPr>
      <w:rFonts w:ascii="宋体" w:hAnsi="Times New Roman"/>
      <w:b/>
      <w:kern w:val="2"/>
      <w:sz w:val="24"/>
      <w:szCs w:val="28"/>
      <w:lang w:eastAsia="zh-CN"/>
    </w:rPr>
  </w:style>
  <w:style w:type="paragraph" w:styleId="9">
    <w:name w:val="heading 8"/>
    <w:basedOn w:val="1"/>
    <w:next w:val="1"/>
    <w:link w:val="47"/>
    <w:qFormat/>
    <w:uiPriority w:val="0"/>
    <w:pPr>
      <w:keepNext/>
      <w:keepLines/>
      <w:tabs>
        <w:tab w:val="left" w:pos="1440"/>
      </w:tabs>
      <w:spacing w:before="240" w:after="64" w:line="320" w:lineRule="auto"/>
      <w:ind w:left="1440"/>
      <w:jc w:val="both"/>
      <w:outlineLvl w:val="7"/>
    </w:pPr>
    <w:rPr>
      <w:rFonts w:ascii="Arial" w:hAnsi="Arial" w:eastAsia="黑体"/>
      <w:kern w:val="2"/>
      <w:sz w:val="24"/>
      <w:szCs w:val="28"/>
      <w:lang w:eastAsia="zh-CN"/>
    </w:rPr>
  </w:style>
  <w:style w:type="paragraph" w:styleId="10">
    <w:name w:val="heading 9"/>
    <w:basedOn w:val="1"/>
    <w:next w:val="1"/>
    <w:link w:val="48"/>
    <w:qFormat/>
    <w:uiPriority w:val="0"/>
    <w:pPr>
      <w:keepNext/>
      <w:keepLines/>
      <w:tabs>
        <w:tab w:val="left" w:pos="1584"/>
      </w:tabs>
      <w:spacing w:before="240" w:after="64" w:line="320" w:lineRule="auto"/>
      <w:ind w:left="1584"/>
      <w:jc w:val="both"/>
      <w:outlineLvl w:val="8"/>
    </w:pPr>
    <w:rPr>
      <w:rFonts w:ascii="Arial" w:hAnsi="Arial" w:eastAsia="黑体"/>
      <w:kern w:val="2"/>
      <w:sz w:val="21"/>
      <w:szCs w:val="28"/>
      <w:lang w:eastAsia="zh-CN"/>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spacing w:after="160" w:line="278" w:lineRule="auto"/>
      <w:ind w:left="2520" w:leftChars="1200"/>
    </w:pPr>
    <w:rPr>
      <w:rFonts w:asciiTheme="minorHAnsi" w:hAnsiTheme="minorHAnsi" w:eastAsiaTheme="minorEastAsia" w:cstheme="minorBidi"/>
      <w:kern w:val="2"/>
      <w:szCs w:val="24"/>
      <w:lang w:eastAsia="zh-CN"/>
      <w14:ligatures w14:val="standardContextual"/>
    </w:rPr>
  </w:style>
  <w:style w:type="paragraph" w:styleId="12">
    <w:name w:val="toa heading"/>
    <w:basedOn w:val="1"/>
    <w:next w:val="1"/>
    <w:qFormat/>
    <w:uiPriority w:val="0"/>
    <w:pPr>
      <w:adjustRightInd w:val="0"/>
      <w:spacing w:before="120" w:after="0" w:line="440" w:lineRule="exact"/>
      <w:jc w:val="center"/>
      <w:textAlignment w:val="center"/>
    </w:pPr>
    <w:rPr>
      <w:rFonts w:ascii="黑体" w:hAnsi="黑体" w:eastAsia="黑体"/>
      <w:kern w:val="2"/>
      <w:sz w:val="30"/>
      <w:szCs w:val="30"/>
      <w:lang w:eastAsia="zh-CN"/>
    </w:rPr>
  </w:style>
  <w:style w:type="paragraph" w:styleId="13">
    <w:name w:val="Salutation"/>
    <w:basedOn w:val="1"/>
    <w:next w:val="1"/>
    <w:link w:val="72"/>
    <w:qFormat/>
    <w:uiPriority w:val="0"/>
  </w:style>
  <w:style w:type="paragraph" w:styleId="14">
    <w:name w:val="Body Text"/>
    <w:basedOn w:val="1"/>
    <w:link w:val="73"/>
    <w:qFormat/>
    <w:uiPriority w:val="1"/>
    <w:pPr>
      <w:autoSpaceDE w:val="0"/>
      <w:autoSpaceDN w:val="0"/>
      <w:spacing w:after="0" w:line="240" w:lineRule="auto"/>
      <w:ind w:left="100"/>
    </w:pPr>
    <w:rPr>
      <w:rFonts w:ascii="宋体" w:hAnsi="宋体" w:cs="宋体"/>
      <w:sz w:val="30"/>
      <w:szCs w:val="30"/>
      <w:lang w:eastAsia="zh-CN"/>
    </w:rPr>
  </w:style>
  <w:style w:type="paragraph" w:styleId="15">
    <w:name w:val="Body Text Indent"/>
    <w:basedOn w:val="1"/>
    <w:link w:val="75"/>
    <w:qFormat/>
    <w:uiPriority w:val="99"/>
    <w:pPr>
      <w:spacing w:after="120"/>
      <w:ind w:left="420" w:leftChars="200"/>
    </w:pPr>
  </w:style>
  <w:style w:type="paragraph" w:styleId="16">
    <w:name w:val="HTML Address"/>
    <w:basedOn w:val="1"/>
    <w:link w:val="70"/>
    <w:qFormat/>
    <w:uiPriority w:val="0"/>
    <w:rPr>
      <w:i/>
      <w:iCs/>
    </w:rPr>
  </w:style>
  <w:style w:type="paragraph" w:styleId="17">
    <w:name w:val="toc 5"/>
    <w:basedOn w:val="1"/>
    <w:next w:val="1"/>
    <w:unhideWhenUsed/>
    <w:qFormat/>
    <w:uiPriority w:val="39"/>
    <w:pPr>
      <w:spacing w:after="160" w:line="278" w:lineRule="auto"/>
      <w:ind w:left="1680" w:leftChars="800"/>
    </w:pPr>
    <w:rPr>
      <w:rFonts w:asciiTheme="minorHAnsi" w:hAnsiTheme="minorHAnsi" w:eastAsiaTheme="minorEastAsia" w:cstheme="minorBidi"/>
      <w:kern w:val="2"/>
      <w:szCs w:val="24"/>
      <w:lang w:eastAsia="zh-CN"/>
      <w14:ligatures w14:val="standardContextual"/>
    </w:rPr>
  </w:style>
  <w:style w:type="paragraph" w:styleId="18">
    <w:name w:val="toc 3"/>
    <w:basedOn w:val="1"/>
    <w:next w:val="1"/>
    <w:qFormat/>
    <w:uiPriority w:val="39"/>
    <w:pPr>
      <w:ind w:left="840" w:leftChars="400"/>
    </w:pPr>
  </w:style>
  <w:style w:type="paragraph" w:styleId="19">
    <w:name w:val="toc 8"/>
    <w:basedOn w:val="1"/>
    <w:next w:val="1"/>
    <w:unhideWhenUsed/>
    <w:qFormat/>
    <w:uiPriority w:val="39"/>
    <w:pPr>
      <w:spacing w:after="160" w:line="278" w:lineRule="auto"/>
      <w:ind w:left="2940" w:leftChars="1400"/>
    </w:pPr>
    <w:rPr>
      <w:rFonts w:asciiTheme="minorHAnsi" w:hAnsiTheme="minorHAnsi" w:eastAsiaTheme="minorEastAsia" w:cstheme="minorBidi"/>
      <w:kern w:val="2"/>
      <w:szCs w:val="24"/>
      <w:lang w:eastAsia="zh-CN"/>
      <w14:ligatures w14:val="standardContextual"/>
    </w:rPr>
  </w:style>
  <w:style w:type="paragraph" w:styleId="20">
    <w:name w:val="Date"/>
    <w:basedOn w:val="1"/>
    <w:next w:val="1"/>
    <w:link w:val="88"/>
    <w:unhideWhenUsed/>
    <w:qFormat/>
    <w:uiPriority w:val="0"/>
    <w:pPr>
      <w:ind w:left="100" w:leftChars="2500"/>
    </w:pPr>
  </w:style>
  <w:style w:type="paragraph" w:styleId="21">
    <w:name w:val="footer"/>
    <w:basedOn w:val="1"/>
    <w:link w:val="50"/>
    <w:unhideWhenUsed/>
    <w:qFormat/>
    <w:uiPriority w:val="0"/>
    <w:pPr>
      <w:tabs>
        <w:tab w:val="center" w:pos="4153"/>
        <w:tab w:val="right" w:pos="8306"/>
      </w:tabs>
      <w:snapToGrid w:val="0"/>
      <w:spacing w:line="240" w:lineRule="auto"/>
    </w:pPr>
    <w:rPr>
      <w:sz w:val="18"/>
      <w:szCs w:val="18"/>
    </w:rPr>
  </w:style>
  <w:style w:type="paragraph" w:styleId="22">
    <w:name w:val="header"/>
    <w:basedOn w:val="1"/>
    <w:link w:val="49"/>
    <w:unhideWhenUsed/>
    <w:qFormat/>
    <w:uiPriority w:val="0"/>
    <w:pPr>
      <w:tabs>
        <w:tab w:val="center" w:pos="4153"/>
        <w:tab w:val="right" w:pos="8306"/>
      </w:tabs>
      <w:snapToGrid w:val="0"/>
      <w:spacing w:line="240" w:lineRule="auto"/>
      <w:jc w:val="center"/>
    </w:pPr>
    <w:rPr>
      <w:sz w:val="18"/>
      <w:szCs w:val="18"/>
    </w:rPr>
  </w:style>
  <w:style w:type="paragraph" w:styleId="23">
    <w:name w:val="toc 1"/>
    <w:basedOn w:val="1"/>
    <w:next w:val="1"/>
    <w:qFormat/>
    <w:uiPriority w:val="39"/>
  </w:style>
  <w:style w:type="paragraph" w:styleId="24">
    <w:name w:val="List Continue 4"/>
    <w:basedOn w:val="1"/>
    <w:next w:val="1"/>
    <w:qFormat/>
    <w:uiPriority w:val="0"/>
    <w:pPr>
      <w:adjustRightInd w:val="0"/>
      <w:spacing w:after="120" w:line="360" w:lineRule="auto"/>
      <w:ind w:left="1680" w:firstLine="480"/>
      <w:jc w:val="both"/>
    </w:pPr>
    <w:rPr>
      <w:rFonts w:hint="eastAsia" w:ascii="宋体" w:hAnsi="仿宋"/>
      <w:sz w:val="24"/>
      <w:szCs w:val="24"/>
      <w:lang w:eastAsia="zh-CN"/>
    </w:rPr>
  </w:style>
  <w:style w:type="paragraph" w:styleId="25">
    <w:name w:val="toc 4"/>
    <w:basedOn w:val="1"/>
    <w:next w:val="1"/>
    <w:unhideWhenUsed/>
    <w:qFormat/>
    <w:uiPriority w:val="39"/>
    <w:pPr>
      <w:spacing w:after="160" w:line="278" w:lineRule="auto"/>
      <w:ind w:left="1260" w:leftChars="600"/>
    </w:pPr>
    <w:rPr>
      <w:rFonts w:asciiTheme="minorHAnsi" w:hAnsiTheme="minorHAnsi" w:eastAsiaTheme="minorEastAsia" w:cstheme="minorBidi"/>
      <w:kern w:val="2"/>
      <w:szCs w:val="24"/>
      <w:lang w:eastAsia="zh-CN"/>
      <w14:ligatures w14:val="standardContextual"/>
    </w:rPr>
  </w:style>
  <w:style w:type="paragraph" w:styleId="26">
    <w:name w:val="Subtitle"/>
    <w:basedOn w:val="1"/>
    <w:next w:val="1"/>
    <w:link w:val="69"/>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27">
    <w:name w:val="toc 6"/>
    <w:basedOn w:val="1"/>
    <w:next w:val="1"/>
    <w:unhideWhenUsed/>
    <w:qFormat/>
    <w:uiPriority w:val="39"/>
    <w:pPr>
      <w:spacing w:after="160" w:line="278" w:lineRule="auto"/>
      <w:ind w:left="2100" w:leftChars="1000"/>
    </w:pPr>
    <w:rPr>
      <w:rFonts w:asciiTheme="minorHAnsi" w:hAnsiTheme="minorHAnsi" w:eastAsiaTheme="minorEastAsia" w:cstheme="minorBidi"/>
      <w:kern w:val="2"/>
      <w:szCs w:val="24"/>
      <w:lang w:eastAsia="zh-CN"/>
      <w14:ligatures w14:val="standardContextual"/>
    </w:rPr>
  </w:style>
  <w:style w:type="paragraph" w:styleId="28">
    <w:name w:val="toc 2"/>
    <w:basedOn w:val="1"/>
    <w:next w:val="1"/>
    <w:qFormat/>
    <w:uiPriority w:val="39"/>
    <w:pPr>
      <w:ind w:left="420" w:leftChars="200"/>
    </w:pPr>
  </w:style>
  <w:style w:type="paragraph" w:styleId="29">
    <w:name w:val="toc 9"/>
    <w:basedOn w:val="1"/>
    <w:next w:val="1"/>
    <w:unhideWhenUsed/>
    <w:qFormat/>
    <w:uiPriority w:val="39"/>
    <w:pPr>
      <w:spacing w:after="160" w:line="278" w:lineRule="auto"/>
      <w:ind w:left="3360" w:leftChars="1600"/>
    </w:pPr>
    <w:rPr>
      <w:rFonts w:asciiTheme="minorHAnsi" w:hAnsiTheme="minorHAnsi" w:eastAsiaTheme="minorEastAsia" w:cstheme="minorBidi"/>
      <w:kern w:val="2"/>
      <w:szCs w:val="24"/>
      <w:lang w:eastAsia="zh-CN"/>
      <w14:ligatures w14:val="standardContextual"/>
    </w:rPr>
  </w:style>
  <w:style w:type="paragraph" w:styleId="30">
    <w:name w:val="Body Text 2"/>
    <w:basedOn w:val="1"/>
    <w:link w:val="74"/>
    <w:qFormat/>
    <w:uiPriority w:val="0"/>
    <w:pPr>
      <w:autoSpaceDE w:val="0"/>
      <w:autoSpaceDN w:val="0"/>
      <w:adjustRightInd w:val="0"/>
      <w:spacing w:after="120" w:line="480" w:lineRule="auto"/>
    </w:pPr>
    <w:rPr>
      <w:rFonts w:hint="eastAsia" w:ascii="仿宋" w:hAnsi="仿宋"/>
      <w:sz w:val="21"/>
      <w:szCs w:val="24"/>
      <w:lang w:eastAsia="zh-CN"/>
    </w:rPr>
  </w:style>
  <w:style w:type="paragraph" w:styleId="31">
    <w:name w:val="HTML Preformatted"/>
    <w:basedOn w:val="1"/>
    <w:link w:val="71"/>
    <w:qFormat/>
    <w:uiPriority w:val="0"/>
    <w:rPr>
      <w:rFonts w:ascii="Courier New" w:hAnsi="Courier New" w:cs="Courier New"/>
      <w:sz w:val="20"/>
      <w:szCs w:val="20"/>
    </w:rPr>
  </w:style>
  <w:style w:type="paragraph" w:styleId="32">
    <w:name w:val="Normal (Web)"/>
    <w:basedOn w:val="1"/>
    <w:qFormat/>
    <w:uiPriority w:val="0"/>
    <w:pPr>
      <w:autoSpaceDE w:val="0"/>
      <w:autoSpaceDN w:val="0"/>
      <w:adjustRightInd w:val="0"/>
      <w:spacing w:after="0" w:line="240" w:lineRule="auto"/>
    </w:pPr>
    <w:rPr>
      <w:rFonts w:hint="eastAsia" w:ascii="仿宋" w:hAnsi="仿宋" w:eastAsia="仿宋"/>
      <w:sz w:val="24"/>
      <w:szCs w:val="24"/>
      <w:lang w:eastAsia="zh-CN"/>
    </w:rPr>
  </w:style>
  <w:style w:type="paragraph" w:styleId="33">
    <w:name w:val="Title"/>
    <w:basedOn w:val="1"/>
    <w:link w:val="87"/>
    <w:qFormat/>
    <w:uiPriority w:val="10"/>
    <w:pPr>
      <w:autoSpaceDE w:val="0"/>
      <w:autoSpaceDN w:val="0"/>
      <w:spacing w:before="310" w:after="0" w:line="240" w:lineRule="auto"/>
      <w:ind w:right="172"/>
      <w:jc w:val="center"/>
    </w:pPr>
    <w:rPr>
      <w:rFonts w:ascii="宋体" w:hAnsi="宋体" w:cs="宋体"/>
      <w:sz w:val="41"/>
      <w:szCs w:val="41"/>
      <w:lang w:eastAsia="zh-CN"/>
    </w:rPr>
  </w:style>
  <w:style w:type="paragraph" w:styleId="34">
    <w:name w:val="Body Text First Indent 2"/>
    <w:basedOn w:val="1"/>
    <w:next w:val="24"/>
    <w:link w:val="76"/>
    <w:qFormat/>
    <w:uiPriority w:val="0"/>
    <w:pPr>
      <w:autoSpaceDE w:val="0"/>
      <w:autoSpaceDN w:val="0"/>
      <w:adjustRightInd w:val="0"/>
      <w:spacing w:after="120" w:line="360" w:lineRule="auto"/>
      <w:ind w:left="420" w:leftChars="200"/>
    </w:pPr>
    <w:rPr>
      <w:rFonts w:hint="eastAsia" w:ascii="仿宋" w:hAnsi="仿宋" w:eastAsia="仿宋"/>
      <w:sz w:val="24"/>
      <w:szCs w:val="24"/>
      <w:lang w:eastAsia="zh-CN"/>
    </w:rPr>
  </w:style>
  <w:style w:type="table" w:styleId="36">
    <w:name w:val="Table Grid"/>
    <w:basedOn w:val="3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38">
    <w:name w:val="FollowedHyperlink"/>
    <w:basedOn w:val="37"/>
    <w:unhideWhenUsed/>
    <w:qFormat/>
    <w:uiPriority w:val="99"/>
    <w:rPr>
      <w:color w:val="954F72"/>
      <w:u w:val="single"/>
    </w:rPr>
  </w:style>
  <w:style w:type="character" w:styleId="39">
    <w:name w:val="Hyperlink"/>
    <w:basedOn w:val="37"/>
    <w:unhideWhenUsed/>
    <w:qFormat/>
    <w:uiPriority w:val="99"/>
    <w:rPr>
      <w:color w:val="0000FF" w:themeColor="hyperlink"/>
      <w:u w:val="single"/>
      <w14:textFill>
        <w14:solidFill>
          <w14:schemeClr w14:val="hlink"/>
        </w14:solidFill>
      </w14:textFill>
    </w:rPr>
  </w:style>
  <w:style w:type="character" w:customStyle="1" w:styleId="40">
    <w:name w:val="标题 1 Char"/>
    <w:basedOn w:val="37"/>
    <w:link w:val="2"/>
    <w:qFormat/>
    <w:uiPriority w:val="0"/>
    <w:rPr>
      <w:rFonts w:ascii="Times New Roman" w:hAnsi="Times New Roman" w:eastAsia="宋体" w:cs="Times New Roman"/>
      <w:b/>
      <w:bCs/>
      <w:kern w:val="44"/>
      <w:sz w:val="44"/>
      <w:szCs w:val="44"/>
    </w:rPr>
  </w:style>
  <w:style w:type="character" w:customStyle="1" w:styleId="41">
    <w:name w:val="标题 2 Char"/>
    <w:basedOn w:val="37"/>
    <w:link w:val="3"/>
    <w:qFormat/>
    <w:uiPriority w:val="99"/>
    <w:rPr>
      <w:rFonts w:ascii="宋体" w:hAnsi="宋体" w:eastAsia="宋体" w:cs="Times New Roman"/>
      <w:b/>
      <w:bCs/>
      <w:kern w:val="0"/>
      <w:sz w:val="36"/>
      <w:szCs w:val="36"/>
    </w:rPr>
  </w:style>
  <w:style w:type="character" w:customStyle="1" w:styleId="42">
    <w:name w:val="标题 3 Char"/>
    <w:basedOn w:val="37"/>
    <w:link w:val="4"/>
    <w:qFormat/>
    <w:uiPriority w:val="99"/>
    <w:rPr>
      <w:rFonts w:ascii="Times New Roman" w:hAnsi="Times New Roman" w:eastAsia="宋体" w:cs="Times New Roman"/>
      <w:b/>
      <w:bCs/>
      <w:sz w:val="32"/>
      <w:szCs w:val="32"/>
    </w:rPr>
  </w:style>
  <w:style w:type="character" w:customStyle="1" w:styleId="43">
    <w:name w:val="标题 4 Char"/>
    <w:basedOn w:val="37"/>
    <w:link w:val="5"/>
    <w:qFormat/>
    <w:uiPriority w:val="99"/>
    <w:rPr>
      <w:rFonts w:ascii="Cambria" w:hAnsi="Cambria" w:eastAsia="宋体" w:cs="Times New Roman"/>
      <w:b/>
      <w:bCs/>
      <w:sz w:val="28"/>
      <w:szCs w:val="28"/>
    </w:rPr>
  </w:style>
  <w:style w:type="character" w:customStyle="1" w:styleId="44">
    <w:name w:val="标题 5 Char"/>
    <w:basedOn w:val="37"/>
    <w:link w:val="6"/>
    <w:qFormat/>
    <w:uiPriority w:val="0"/>
    <w:rPr>
      <w:rFonts w:ascii="Times New Roman" w:hAnsi="Times New Roman" w:eastAsia="宋体" w:cs="Times New Roman"/>
      <w:b/>
      <w:bCs/>
      <w:sz w:val="28"/>
      <w:szCs w:val="28"/>
    </w:rPr>
  </w:style>
  <w:style w:type="character" w:customStyle="1" w:styleId="45">
    <w:name w:val="标题 6 Char"/>
    <w:basedOn w:val="37"/>
    <w:link w:val="7"/>
    <w:qFormat/>
    <w:uiPriority w:val="99"/>
    <w:rPr>
      <w:rFonts w:ascii="Arial" w:hAnsi="Arial" w:eastAsia="黑体" w:cs="Times New Roman"/>
      <w:b/>
      <w:sz w:val="24"/>
      <w:szCs w:val="28"/>
    </w:rPr>
  </w:style>
  <w:style w:type="character" w:customStyle="1" w:styleId="46">
    <w:name w:val="标题 7 Char"/>
    <w:basedOn w:val="37"/>
    <w:link w:val="8"/>
    <w:qFormat/>
    <w:uiPriority w:val="99"/>
    <w:rPr>
      <w:rFonts w:ascii="宋体" w:hAnsi="Times New Roman" w:eastAsia="宋体" w:cs="Times New Roman"/>
      <w:b/>
      <w:sz w:val="24"/>
      <w:szCs w:val="28"/>
    </w:rPr>
  </w:style>
  <w:style w:type="character" w:customStyle="1" w:styleId="47">
    <w:name w:val="标题 8 Char"/>
    <w:basedOn w:val="37"/>
    <w:link w:val="9"/>
    <w:qFormat/>
    <w:uiPriority w:val="0"/>
    <w:rPr>
      <w:rFonts w:ascii="Arial" w:hAnsi="Arial" w:eastAsia="黑体" w:cs="Times New Roman"/>
      <w:sz w:val="24"/>
      <w:szCs w:val="28"/>
    </w:rPr>
  </w:style>
  <w:style w:type="character" w:customStyle="1" w:styleId="48">
    <w:name w:val="标题 9 Char"/>
    <w:basedOn w:val="37"/>
    <w:link w:val="10"/>
    <w:qFormat/>
    <w:uiPriority w:val="0"/>
    <w:rPr>
      <w:rFonts w:ascii="Arial" w:hAnsi="Arial" w:eastAsia="黑体" w:cs="Times New Roman"/>
      <w:szCs w:val="28"/>
    </w:rPr>
  </w:style>
  <w:style w:type="character" w:customStyle="1" w:styleId="49">
    <w:name w:val="页眉 Char"/>
    <w:basedOn w:val="37"/>
    <w:link w:val="22"/>
    <w:qFormat/>
    <w:uiPriority w:val="0"/>
    <w:rPr>
      <w:rFonts w:ascii="Calibri" w:hAnsi="Calibri"/>
      <w:sz w:val="18"/>
      <w:szCs w:val="18"/>
      <w:lang w:eastAsia="en-US"/>
    </w:rPr>
  </w:style>
  <w:style w:type="character" w:customStyle="1" w:styleId="50">
    <w:name w:val="页脚 Char"/>
    <w:basedOn w:val="37"/>
    <w:link w:val="21"/>
    <w:qFormat/>
    <w:uiPriority w:val="0"/>
    <w:rPr>
      <w:rFonts w:ascii="Calibri" w:hAnsi="Calibri"/>
      <w:sz w:val="18"/>
      <w:szCs w:val="18"/>
      <w:lang w:eastAsia="en-US"/>
    </w:rPr>
  </w:style>
  <w:style w:type="paragraph" w:customStyle="1" w:styleId="51">
    <w:name w:val="一级标题"/>
    <w:next w:val="52"/>
    <w:link w:val="57"/>
    <w:qFormat/>
    <w:uiPriority w:val="0"/>
    <w:pPr>
      <w:adjustRightInd w:val="0"/>
      <w:snapToGrid w:val="0"/>
      <w:spacing w:line="360" w:lineRule="auto"/>
      <w:jc w:val="center"/>
      <w:outlineLvl w:val="0"/>
    </w:pPr>
    <w:rPr>
      <w:rFonts w:ascii="Times New Roman" w:hAnsi="Times New Roman" w:eastAsia="黑体" w:cs="Times New Roman"/>
      <w:color w:val="000000" w:themeColor="text1"/>
      <w:position w:val="-2"/>
      <w:sz w:val="32"/>
      <w:szCs w:val="32"/>
      <w:u w:color="000000" w:themeColor="text1"/>
      <w:lang w:val="en-US" w:eastAsia="zh-CN" w:bidi="ar-SA"/>
      <w14:textFill>
        <w14:solidFill>
          <w14:schemeClr w14:val="tx1"/>
        </w14:solidFill>
      </w14:textFill>
    </w:rPr>
  </w:style>
  <w:style w:type="paragraph" w:customStyle="1" w:styleId="52">
    <w:name w:val="二级标题"/>
    <w:next w:val="53"/>
    <w:link w:val="56"/>
    <w:qFormat/>
    <w:uiPriority w:val="0"/>
    <w:pPr>
      <w:spacing w:line="360" w:lineRule="auto"/>
      <w:outlineLvl w:val="1"/>
    </w:pPr>
    <w:rPr>
      <w:rFonts w:ascii="Times New Roman" w:hAnsi="Times New Roman" w:eastAsia="黑体" w:cs="Times New Roman"/>
      <w:color w:val="000000" w:themeColor="text1"/>
      <w:position w:val="-2"/>
      <w:sz w:val="30"/>
      <w:szCs w:val="32"/>
      <w:u w:color="000000" w:themeColor="text1"/>
      <w:lang w:val="en-US" w:eastAsia="zh-CN" w:bidi="ar-SA"/>
      <w14:textFill>
        <w14:solidFill>
          <w14:schemeClr w14:val="tx1"/>
        </w14:solidFill>
      </w14:textFill>
    </w:rPr>
  </w:style>
  <w:style w:type="paragraph" w:customStyle="1" w:styleId="53">
    <w:name w:val="三级标题"/>
    <w:next w:val="54"/>
    <w:link w:val="58"/>
    <w:qFormat/>
    <w:uiPriority w:val="0"/>
    <w:pPr>
      <w:spacing w:line="360" w:lineRule="auto"/>
      <w:outlineLvl w:val="2"/>
    </w:pPr>
    <w:rPr>
      <w:rFonts w:ascii="Times New Roman" w:hAnsi="Times New Roman" w:eastAsia="黑体" w:cs="Times New Roman"/>
      <w:color w:val="000000" w:themeColor="text1"/>
      <w:position w:val="-2"/>
      <w:sz w:val="28"/>
      <w:szCs w:val="32"/>
      <w:u w:color="000000" w:themeColor="text1"/>
      <w:lang w:val="en-US" w:eastAsia="zh-CN" w:bidi="ar-SA"/>
      <w14:textFill>
        <w14:solidFill>
          <w14:schemeClr w14:val="tx1"/>
        </w14:solidFill>
      </w14:textFill>
    </w:rPr>
  </w:style>
  <w:style w:type="paragraph" w:customStyle="1" w:styleId="54">
    <w:name w:val="四级标题"/>
    <w:link w:val="55"/>
    <w:qFormat/>
    <w:uiPriority w:val="0"/>
    <w:pPr>
      <w:spacing w:line="360" w:lineRule="auto"/>
      <w:ind w:firstLine="482" w:firstLineChars="200"/>
      <w:outlineLvl w:val="3"/>
    </w:pPr>
    <w:rPr>
      <w:rFonts w:ascii="Times New Roman" w:hAnsi="Times New Roman" w:eastAsia="仿宋" w:cs="Times New Roman"/>
      <w:b/>
      <w:color w:val="000000" w:themeColor="text1"/>
      <w:position w:val="-2"/>
      <w:sz w:val="24"/>
      <w:szCs w:val="32"/>
      <w:u w:color="000000" w:themeColor="text1"/>
      <w:lang w:val="en-US" w:eastAsia="zh-CN" w:bidi="ar-SA"/>
      <w14:textFill>
        <w14:solidFill>
          <w14:schemeClr w14:val="tx1"/>
        </w14:solidFill>
      </w14:textFill>
    </w:rPr>
  </w:style>
  <w:style w:type="character" w:customStyle="1" w:styleId="55">
    <w:name w:val="四级标题 字符"/>
    <w:basedOn w:val="56"/>
    <w:link w:val="54"/>
    <w:qFormat/>
    <w:uiPriority w:val="0"/>
    <w:rPr>
      <w:rFonts w:eastAsia="仿宋"/>
      <w:b/>
      <w:color w:val="000000" w:themeColor="text1"/>
      <w:position w:val="-2"/>
      <w:sz w:val="24"/>
      <w:szCs w:val="32"/>
      <w:u w:color="000000" w:themeColor="text1"/>
      <w14:textFill>
        <w14:solidFill>
          <w14:schemeClr w14:val="tx1"/>
        </w14:solidFill>
      </w14:textFill>
    </w:rPr>
  </w:style>
  <w:style w:type="character" w:customStyle="1" w:styleId="56">
    <w:name w:val="二级标题 字符"/>
    <w:basedOn w:val="57"/>
    <w:link w:val="52"/>
    <w:qFormat/>
    <w:uiPriority w:val="0"/>
    <w:rPr>
      <w:rFonts w:eastAsia="黑体"/>
      <w:color w:val="000000" w:themeColor="text1"/>
      <w:position w:val="-2"/>
      <w:sz w:val="30"/>
      <w:szCs w:val="32"/>
      <w:u w:color="000000" w:themeColor="text1"/>
      <w14:textFill>
        <w14:solidFill>
          <w14:schemeClr w14:val="tx1"/>
        </w14:solidFill>
      </w14:textFill>
    </w:rPr>
  </w:style>
  <w:style w:type="character" w:customStyle="1" w:styleId="57">
    <w:name w:val="一级标题 字符"/>
    <w:basedOn w:val="37"/>
    <w:link w:val="51"/>
    <w:qFormat/>
    <w:uiPriority w:val="0"/>
    <w:rPr>
      <w:rFonts w:eastAsia="黑体"/>
      <w:color w:val="000000" w:themeColor="text1"/>
      <w:position w:val="-2"/>
      <w:sz w:val="32"/>
      <w:szCs w:val="32"/>
      <w:u w:color="000000" w:themeColor="text1"/>
      <w14:textFill>
        <w14:solidFill>
          <w14:schemeClr w14:val="tx1"/>
        </w14:solidFill>
      </w14:textFill>
    </w:rPr>
  </w:style>
  <w:style w:type="character" w:customStyle="1" w:styleId="58">
    <w:name w:val="三级标题 字符"/>
    <w:basedOn w:val="56"/>
    <w:link w:val="53"/>
    <w:qFormat/>
    <w:uiPriority w:val="0"/>
    <w:rPr>
      <w:rFonts w:eastAsia="黑体"/>
      <w:color w:val="000000" w:themeColor="text1"/>
      <w:position w:val="-2"/>
      <w:sz w:val="28"/>
      <w:szCs w:val="32"/>
      <w:u w:color="000000" w:themeColor="text1"/>
      <w14:textFill>
        <w14:solidFill>
          <w14:schemeClr w14:val="tx1"/>
        </w14:solidFill>
      </w14:textFill>
    </w:rPr>
  </w:style>
  <w:style w:type="paragraph" w:customStyle="1" w:styleId="59">
    <w:name w:val="正文1"/>
    <w:link w:val="60"/>
    <w:qFormat/>
    <w:uiPriority w:val="0"/>
    <w:pPr>
      <w:spacing w:line="360" w:lineRule="auto"/>
      <w:ind w:firstLine="200" w:firstLineChars="200"/>
      <w:jc w:val="both"/>
    </w:pPr>
    <w:rPr>
      <w:rFonts w:ascii="Times New Roman" w:hAnsi="Times New Roman" w:eastAsia="仿宋" w:cs="Times New Roman"/>
      <w:color w:val="000000" w:themeColor="text1"/>
      <w:position w:val="-2"/>
      <w:sz w:val="24"/>
      <w:szCs w:val="32"/>
      <w:u w:color="000000" w:themeColor="text1"/>
      <w:lang w:val="en-US" w:eastAsia="zh-CN" w:bidi="ar-SA"/>
      <w14:textFill>
        <w14:solidFill>
          <w14:schemeClr w14:val="tx1"/>
        </w14:solidFill>
      </w14:textFill>
    </w:rPr>
  </w:style>
  <w:style w:type="character" w:customStyle="1" w:styleId="60">
    <w:name w:val="正文1 字符"/>
    <w:basedOn w:val="56"/>
    <w:link w:val="59"/>
    <w:qFormat/>
    <w:uiPriority w:val="0"/>
    <w:rPr>
      <w:rFonts w:eastAsia="仿宋"/>
      <w:color w:val="000000" w:themeColor="text1"/>
      <w:position w:val="-2"/>
      <w:sz w:val="24"/>
      <w:szCs w:val="32"/>
      <w:u w:color="000000" w:themeColor="text1"/>
      <w14:textFill>
        <w14:solidFill>
          <w14:schemeClr w14:val="tx1"/>
        </w14:solidFill>
      </w14:textFill>
    </w:rPr>
  </w:style>
  <w:style w:type="paragraph" w:customStyle="1" w:styleId="61">
    <w:name w:val="五级标题"/>
    <w:link w:val="62"/>
    <w:qFormat/>
    <w:uiPriority w:val="0"/>
    <w:pPr>
      <w:spacing w:line="360" w:lineRule="auto"/>
      <w:ind w:firstLine="480" w:firstLineChars="200"/>
      <w:outlineLvl w:val="5"/>
    </w:pPr>
    <w:rPr>
      <w:rFonts w:ascii="Times New Roman" w:hAnsi="Times New Roman" w:eastAsia="仿宋" w:cs="Times New Roman"/>
      <w:bCs/>
      <w:color w:val="000000" w:themeColor="text1"/>
      <w:position w:val="-2"/>
      <w:sz w:val="24"/>
      <w:szCs w:val="32"/>
      <w:u w:color="000000" w:themeColor="text1"/>
      <w:lang w:val="en-US" w:eastAsia="zh-CN" w:bidi="ar-SA"/>
      <w14:textFill>
        <w14:solidFill>
          <w14:schemeClr w14:val="tx1"/>
        </w14:solidFill>
      </w14:textFill>
    </w:rPr>
  </w:style>
  <w:style w:type="character" w:customStyle="1" w:styleId="62">
    <w:name w:val="五级标题 字符"/>
    <w:basedOn w:val="37"/>
    <w:link w:val="61"/>
    <w:qFormat/>
    <w:uiPriority w:val="0"/>
    <w:rPr>
      <w:rFonts w:eastAsia="仿宋"/>
      <w:bCs/>
      <w:color w:val="000000" w:themeColor="text1"/>
      <w:position w:val="-2"/>
      <w:sz w:val="24"/>
      <w:szCs w:val="32"/>
      <w:u w:color="000000" w:themeColor="text1"/>
      <w14:textFill>
        <w14:solidFill>
          <w14:schemeClr w14:val="tx1"/>
        </w14:solidFill>
      </w14:textFill>
    </w:rPr>
  </w:style>
  <w:style w:type="character" w:customStyle="1" w:styleId="63">
    <w:name w:val="未处理的提及1"/>
    <w:basedOn w:val="37"/>
    <w:semiHidden/>
    <w:unhideWhenUsed/>
    <w:qFormat/>
    <w:uiPriority w:val="99"/>
    <w:rPr>
      <w:color w:val="605E5C"/>
      <w:shd w:val="clear" w:color="auto" w:fill="E1DFDD"/>
    </w:rPr>
  </w:style>
  <w:style w:type="paragraph" w:customStyle="1" w:styleId="64">
    <w:name w:val="修订1"/>
    <w:hidden/>
    <w:semiHidden/>
    <w:qFormat/>
    <w:uiPriority w:val="99"/>
    <w:rPr>
      <w:rFonts w:ascii="Calibri" w:hAnsi="Calibri" w:eastAsia="宋体" w:cs="Times New Roman"/>
      <w:kern w:val="2"/>
      <w:sz w:val="21"/>
      <w:szCs w:val="22"/>
      <w:lang w:val="en-US" w:eastAsia="zh-CN" w:bidi="ar-SA"/>
    </w:rPr>
  </w:style>
  <w:style w:type="paragraph" w:customStyle="1" w:styleId="65">
    <w:name w:val="修订2"/>
    <w:hidden/>
    <w:unhideWhenUsed/>
    <w:qFormat/>
    <w:uiPriority w:val="99"/>
    <w:rPr>
      <w:rFonts w:ascii="Calibri" w:hAnsi="Calibri" w:eastAsia="宋体" w:cs="Times New Roman"/>
      <w:sz w:val="22"/>
      <w:szCs w:val="22"/>
      <w:lang w:val="en-US" w:eastAsia="en-US" w:bidi="ar-SA"/>
    </w:rPr>
  </w:style>
  <w:style w:type="paragraph" w:customStyle="1" w:styleId="66">
    <w:name w:val="表格内容"/>
    <w:basedOn w:val="1"/>
    <w:link w:val="67"/>
    <w:qFormat/>
    <w:uiPriority w:val="0"/>
    <w:pPr>
      <w:widowControl/>
      <w:spacing w:after="0" w:line="240" w:lineRule="auto"/>
      <w:jc w:val="center"/>
    </w:pPr>
    <w:rPr>
      <w:rFonts w:ascii="Times New Roman" w:hAnsi="Times New Roman" w:eastAsia="仿宋"/>
      <w:bCs/>
      <w:color w:val="000000"/>
      <w:sz w:val="21"/>
      <w:szCs w:val="21"/>
      <w:lang w:eastAsia="zh-CN"/>
    </w:rPr>
  </w:style>
  <w:style w:type="character" w:customStyle="1" w:styleId="67">
    <w:name w:val="表格内容 Char"/>
    <w:basedOn w:val="37"/>
    <w:link w:val="66"/>
    <w:qFormat/>
    <w:uiPriority w:val="0"/>
    <w:rPr>
      <w:rFonts w:eastAsia="仿宋"/>
      <w:bCs/>
      <w:color w:val="000000"/>
      <w:sz w:val="21"/>
      <w:szCs w:val="21"/>
    </w:rPr>
  </w:style>
  <w:style w:type="paragraph" w:customStyle="1" w:styleId="68">
    <w:name w:val="图表标题"/>
    <w:basedOn w:val="1"/>
    <w:qFormat/>
    <w:uiPriority w:val="0"/>
    <w:pPr>
      <w:tabs>
        <w:tab w:val="left" w:pos="7560"/>
      </w:tabs>
      <w:spacing w:after="0" w:line="240" w:lineRule="auto"/>
      <w:ind w:firstLine="200" w:firstLineChars="200"/>
      <w:jc w:val="center"/>
    </w:pPr>
    <w:rPr>
      <w:rFonts w:ascii="黑体" w:hAnsi="黑体" w:eastAsia="黑体" w:cs="黑体"/>
      <w:color w:val="000000"/>
      <w:sz w:val="21"/>
      <w:lang w:eastAsia="zh-CN"/>
    </w:rPr>
  </w:style>
  <w:style w:type="character" w:customStyle="1" w:styleId="69">
    <w:name w:val="副标题 Char"/>
    <w:basedOn w:val="37"/>
    <w:link w:val="26"/>
    <w:qFormat/>
    <w:uiPriority w:val="0"/>
    <w:rPr>
      <w:rFonts w:asciiTheme="majorHAnsi" w:hAnsiTheme="majorHAnsi" w:cstheme="majorBidi"/>
      <w:b/>
      <w:bCs/>
      <w:kern w:val="28"/>
      <w:sz w:val="32"/>
      <w:szCs w:val="32"/>
      <w:lang w:eastAsia="en-US"/>
    </w:rPr>
  </w:style>
  <w:style w:type="character" w:customStyle="1" w:styleId="70">
    <w:name w:val="HTML 地址 Char"/>
    <w:basedOn w:val="37"/>
    <w:link w:val="16"/>
    <w:qFormat/>
    <w:uiPriority w:val="0"/>
    <w:rPr>
      <w:rFonts w:ascii="Calibri" w:hAnsi="Calibri"/>
      <w:i/>
      <w:iCs/>
      <w:sz w:val="22"/>
      <w:szCs w:val="22"/>
      <w:lang w:eastAsia="en-US"/>
    </w:rPr>
  </w:style>
  <w:style w:type="character" w:customStyle="1" w:styleId="71">
    <w:name w:val="HTML 预设格式 Char"/>
    <w:basedOn w:val="37"/>
    <w:link w:val="31"/>
    <w:qFormat/>
    <w:uiPriority w:val="0"/>
    <w:rPr>
      <w:rFonts w:ascii="Courier New" w:hAnsi="Courier New" w:cs="Courier New"/>
      <w:lang w:eastAsia="en-US"/>
    </w:rPr>
  </w:style>
  <w:style w:type="character" w:customStyle="1" w:styleId="72">
    <w:name w:val="称呼 Char"/>
    <w:basedOn w:val="37"/>
    <w:link w:val="13"/>
    <w:qFormat/>
    <w:uiPriority w:val="0"/>
    <w:rPr>
      <w:rFonts w:ascii="Calibri" w:hAnsi="Calibri"/>
      <w:sz w:val="22"/>
      <w:szCs w:val="22"/>
      <w:lang w:eastAsia="en-US"/>
    </w:rPr>
  </w:style>
  <w:style w:type="character" w:customStyle="1" w:styleId="73">
    <w:name w:val="正文文本 Char"/>
    <w:basedOn w:val="37"/>
    <w:link w:val="14"/>
    <w:qFormat/>
    <w:uiPriority w:val="1"/>
    <w:rPr>
      <w:rFonts w:ascii="宋体" w:hAnsi="宋体" w:cs="宋体"/>
      <w:sz w:val="30"/>
      <w:szCs w:val="30"/>
    </w:rPr>
  </w:style>
  <w:style w:type="character" w:customStyle="1" w:styleId="74">
    <w:name w:val="正文文本 2 Char"/>
    <w:basedOn w:val="37"/>
    <w:link w:val="30"/>
    <w:qFormat/>
    <w:uiPriority w:val="0"/>
    <w:rPr>
      <w:rFonts w:ascii="仿宋" w:hAnsi="仿宋"/>
      <w:sz w:val="21"/>
      <w:szCs w:val="24"/>
    </w:rPr>
  </w:style>
  <w:style w:type="character" w:customStyle="1" w:styleId="75">
    <w:name w:val="正文文本缩进 Char"/>
    <w:basedOn w:val="37"/>
    <w:link w:val="15"/>
    <w:qFormat/>
    <w:uiPriority w:val="99"/>
    <w:rPr>
      <w:rFonts w:ascii="Calibri" w:hAnsi="Calibri"/>
      <w:sz w:val="22"/>
      <w:szCs w:val="22"/>
      <w:lang w:eastAsia="en-US"/>
    </w:rPr>
  </w:style>
  <w:style w:type="character" w:customStyle="1" w:styleId="76">
    <w:name w:val="正文首行缩进 2 Char"/>
    <w:basedOn w:val="75"/>
    <w:link w:val="34"/>
    <w:qFormat/>
    <w:uiPriority w:val="0"/>
    <w:rPr>
      <w:rFonts w:ascii="仿宋" w:hAnsi="仿宋" w:eastAsia="仿宋"/>
      <w:sz w:val="24"/>
      <w:szCs w:val="24"/>
      <w:lang w:eastAsia="en-US"/>
    </w:rPr>
  </w:style>
  <w:style w:type="paragraph" w:styleId="77">
    <w:name w:val="List Paragraph"/>
    <w:basedOn w:val="1"/>
    <w:unhideWhenUsed/>
    <w:qFormat/>
    <w:uiPriority w:val="1"/>
    <w:pPr>
      <w:autoSpaceDE w:val="0"/>
      <w:autoSpaceDN w:val="0"/>
      <w:adjustRightInd w:val="0"/>
      <w:spacing w:after="0" w:line="240" w:lineRule="auto"/>
      <w:ind w:left="378" w:firstLine="480"/>
    </w:pPr>
    <w:rPr>
      <w:rFonts w:hint="eastAsia" w:ascii="仿宋" w:hAnsi="仿宋" w:eastAsia="仿宋"/>
      <w:sz w:val="24"/>
      <w:szCs w:val="24"/>
      <w:lang w:eastAsia="zh-CN"/>
    </w:rPr>
  </w:style>
  <w:style w:type="character" w:customStyle="1" w:styleId="78">
    <w:name w:val="font21"/>
    <w:basedOn w:val="37"/>
    <w:qFormat/>
    <w:uiPriority w:val="0"/>
    <w:rPr>
      <w:rFonts w:hint="eastAsia" w:ascii="宋体" w:hAnsi="宋体" w:eastAsia="宋体" w:cs="宋体"/>
      <w:color w:val="000000"/>
      <w:sz w:val="24"/>
      <w:szCs w:val="24"/>
      <w:u w:val="none"/>
    </w:rPr>
  </w:style>
  <w:style w:type="character" w:customStyle="1" w:styleId="79">
    <w:name w:val="font31"/>
    <w:basedOn w:val="37"/>
    <w:qFormat/>
    <w:uiPriority w:val="0"/>
    <w:rPr>
      <w:rFonts w:hint="eastAsia" w:ascii="宋体" w:hAnsi="宋体" w:eastAsia="宋体" w:cs="宋体"/>
      <w:color w:val="000000"/>
      <w:sz w:val="21"/>
      <w:szCs w:val="21"/>
      <w:u w:val="none"/>
    </w:rPr>
  </w:style>
  <w:style w:type="paragraph" w:customStyle="1" w:styleId="80">
    <w:name w:val="Table Paragraph"/>
    <w:basedOn w:val="1"/>
    <w:qFormat/>
    <w:uiPriority w:val="1"/>
    <w:pPr>
      <w:autoSpaceDE w:val="0"/>
      <w:autoSpaceDN w:val="0"/>
      <w:adjustRightInd w:val="0"/>
      <w:spacing w:after="0" w:line="356" w:lineRule="exact"/>
    </w:pPr>
    <w:rPr>
      <w:rFonts w:hint="eastAsia" w:ascii="宋体" w:hAnsi="宋体" w:cs="宋体"/>
      <w:szCs w:val="24"/>
      <w:lang w:eastAsia="zh-CN"/>
    </w:rPr>
  </w:style>
  <w:style w:type="character" w:customStyle="1" w:styleId="81">
    <w:name w:val="font11"/>
    <w:basedOn w:val="37"/>
    <w:qFormat/>
    <w:uiPriority w:val="0"/>
    <w:rPr>
      <w:rFonts w:hint="default" w:ascii="Times New Roman" w:hAnsi="Times New Roman" w:cs="Times New Roman"/>
      <w:color w:val="000000"/>
      <w:sz w:val="21"/>
      <w:szCs w:val="21"/>
      <w:u w:val="none"/>
    </w:rPr>
  </w:style>
  <w:style w:type="paragraph" w:customStyle="1" w:styleId="82">
    <w:name w:val="font5"/>
    <w:basedOn w:val="1"/>
    <w:qFormat/>
    <w:uiPriority w:val="0"/>
    <w:pPr>
      <w:widowControl/>
      <w:spacing w:before="100" w:beforeAutospacing="1" w:after="100" w:afterAutospacing="1" w:line="240" w:lineRule="auto"/>
    </w:pPr>
    <w:rPr>
      <w:rFonts w:ascii="宋体" w:hAnsi="宋体" w:cs="宋体"/>
      <w:sz w:val="18"/>
      <w:szCs w:val="18"/>
      <w:lang w:eastAsia="zh-CN"/>
    </w:rPr>
  </w:style>
  <w:style w:type="paragraph" w:customStyle="1" w:styleId="8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24"/>
      <w:szCs w:val="24"/>
      <w:lang w:eastAsia="zh-CN"/>
    </w:rPr>
  </w:style>
  <w:style w:type="paragraph" w:customStyle="1" w:styleId="84">
    <w:name w:val="xl65"/>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jc w:val="center"/>
    </w:pPr>
    <w:rPr>
      <w:rFonts w:ascii="宋体" w:hAnsi="宋体" w:cs="宋体"/>
      <w:sz w:val="24"/>
      <w:szCs w:val="24"/>
      <w:lang w:eastAsia="zh-CN"/>
    </w:rPr>
  </w:style>
  <w:style w:type="paragraph" w:customStyle="1" w:styleId="85">
    <w:name w:val="xl66"/>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cs="宋体"/>
      <w:sz w:val="24"/>
      <w:szCs w:val="24"/>
      <w:lang w:eastAsia="zh-CN"/>
    </w:rPr>
  </w:style>
  <w:style w:type="paragraph" w:customStyle="1" w:styleId="86">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sz w:val="24"/>
      <w:szCs w:val="24"/>
      <w:lang w:eastAsia="zh-CN"/>
    </w:rPr>
  </w:style>
  <w:style w:type="character" w:customStyle="1" w:styleId="87">
    <w:name w:val="标题 Char"/>
    <w:basedOn w:val="37"/>
    <w:link w:val="33"/>
    <w:qFormat/>
    <w:uiPriority w:val="10"/>
    <w:rPr>
      <w:rFonts w:ascii="宋体" w:hAnsi="宋体" w:cs="宋体"/>
      <w:sz w:val="41"/>
      <w:szCs w:val="41"/>
    </w:rPr>
  </w:style>
  <w:style w:type="character" w:customStyle="1" w:styleId="88">
    <w:name w:val="日期 Char"/>
    <w:basedOn w:val="37"/>
    <w:link w:val="20"/>
    <w:qFormat/>
    <w:uiPriority w:val="0"/>
    <w:rPr>
      <w:rFonts w:ascii="Calibri" w:hAnsi="Calibri"/>
      <w:sz w:val="22"/>
      <w:szCs w:val="22"/>
      <w:lang w:eastAsia="en-US"/>
    </w:rPr>
  </w:style>
  <w:style w:type="character" w:customStyle="1" w:styleId="89">
    <w:name w:val="Unresolved Mention"/>
    <w:basedOn w:val="3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773D4-EB31-48E3-B4EA-CCBDC6874CB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3668</Words>
  <Characters>20910</Characters>
  <Lines>174</Lines>
  <Paragraphs>49</Paragraphs>
  <TotalTime>11</TotalTime>
  <ScaleCrop>false</ScaleCrop>
  <LinksUpToDate>false</LinksUpToDate>
  <CharactersWithSpaces>24529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2024-06-20T03:42:00Z</dcterms:created>
  <dc:creator>Administrator</dc:creator>
  <cp:lastModifiedBy>ZFB</cp:lastModifiedBy>
  <cp:lastPrinted>2026-07-27T11:29:00Z</cp:lastPrinted>
  <dcterms:modified xsi:type="dcterms:W3CDTF">2026-08-13T03:46:47Z</dcterms:modified>
  <cp:revision>8057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5A8DCDF6ECAB4F9282D3F71C52571292_13</vt:lpwstr>
  </property>
</Properties>
</file>