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0" w:lineRule="exact"/>
        <w:jc w:val="center"/>
        <w:rPr>
          <w:rFonts w:ascii="Times New Roman" w:hAnsi="Times New Roman" w:eastAsia="方正小标宋_GBK" w:cs="黑体"/>
          <w:sz w:val="32"/>
          <w:szCs w:val="32"/>
        </w:rPr>
      </w:pPr>
      <w:r>
        <w:rPr>
          <w:rFonts w:hint="eastAsia" w:ascii="Times New Roman" w:hAnsi="Times New Roman" w:eastAsia="方正小标宋_GBK" w:cs="黑体"/>
          <w:sz w:val="32"/>
          <w:szCs w:val="32"/>
        </w:rPr>
        <w:t>伽师县国土空间总体规划（2021-2035年）</w:t>
      </w:r>
    </w:p>
    <w:p>
      <w:pPr>
        <w:snapToGrid w:val="0"/>
        <w:spacing w:line="570" w:lineRule="exact"/>
        <w:jc w:val="center"/>
        <w:rPr>
          <w:rFonts w:ascii="Times New Roman" w:hAnsi="Times New Roman" w:eastAsia="方正小标宋_GBK" w:cs="黑体"/>
          <w:sz w:val="32"/>
          <w:szCs w:val="32"/>
        </w:rPr>
      </w:pPr>
      <w:r>
        <w:rPr>
          <w:rFonts w:hint="eastAsia" w:ascii="Times New Roman" w:hAnsi="Times New Roman" w:eastAsia="方正小标宋_GBK" w:cs="黑体"/>
          <w:sz w:val="32"/>
          <w:szCs w:val="32"/>
        </w:rPr>
        <w:t>动态维护方案（2026年度）</w:t>
      </w:r>
    </w:p>
    <w:p>
      <w:pPr>
        <w:pStyle w:val="2"/>
        <w:snapToGrid w:val="0"/>
        <w:spacing w:before="0" w:after="0" w:line="570" w:lineRule="exact"/>
        <w:jc w:val="both"/>
        <w:rPr>
          <w:rFonts w:ascii="Times New Roman" w:hAnsi="Times New Roman" w:eastAsia="方正黑体_GBK" w:cs="黑体"/>
          <w:spacing w:val="6"/>
          <w:sz w:val="32"/>
          <w:szCs w:val="32"/>
        </w:rPr>
      </w:pPr>
      <w:bookmarkStart w:id="0" w:name="_Toc31462"/>
      <w:r>
        <w:rPr>
          <w:rFonts w:hint="eastAsia" w:ascii="Times New Roman" w:hAnsi="Times New Roman" w:eastAsia="方正黑体_GBK" w:cs="黑体"/>
          <w:spacing w:val="6"/>
          <w:sz w:val="32"/>
          <w:szCs w:val="32"/>
        </w:rPr>
        <w:t>一、前言</w:t>
      </w:r>
      <w:bookmarkEnd w:id="0"/>
    </w:p>
    <w:p>
      <w:pPr>
        <w:pStyle w:val="3"/>
        <w:snapToGrid w:val="0"/>
        <w:spacing w:before="0" w:after="0" w:line="570" w:lineRule="exact"/>
        <w:rPr>
          <w:rFonts w:ascii="Times New Roman" w:hAnsi="Times New Roman" w:eastAsia="楷体" w:cs="黑体"/>
          <w:b w:val="0"/>
          <w:bCs w:val="0"/>
          <w:spacing w:val="6"/>
        </w:rPr>
      </w:pPr>
      <w:bookmarkStart w:id="1" w:name="_Toc14937"/>
      <w:r>
        <w:rPr>
          <w:rFonts w:hint="eastAsia" w:ascii="Times New Roman" w:hAnsi="Times New Roman" w:eastAsia="楷体" w:cs="黑体"/>
          <w:b w:val="0"/>
          <w:bCs w:val="0"/>
          <w:spacing w:val="6"/>
        </w:rPr>
        <w:t>1.1工作背景</w:t>
      </w:r>
      <w:bookmarkEnd w:id="1"/>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深入贯彻落实党中央、国务院关于国土空间规划体系建设的决策部署，衔接自然资源部关于国土空间总体规划动态调整完善的工作部署，执行《自治区自然资源厅关于开展全区国土空间总体规划动态调整完善工作的通知》要求及自然资源厅统一工作安排，落实国家、自治区、喀什地区“十五五”规划发展要求，加强空间布局引领和自然资源要素配置，破解规划实施过程中用地供需矛盾、空间布局零散、产业发展与空间载体不匹配等突出问题，适配县域生态保护、矿产开发、城镇发展等新形势新需求，特开展本次国土空间总体规划动态维护工作。</w:t>
      </w:r>
    </w:p>
    <w:p>
      <w:pPr>
        <w:pStyle w:val="3"/>
        <w:snapToGrid w:val="0"/>
        <w:spacing w:before="0" w:after="0" w:line="570" w:lineRule="exact"/>
        <w:rPr>
          <w:rFonts w:ascii="Times New Roman" w:hAnsi="Times New Roman" w:eastAsia="楷体" w:cs="黑体"/>
          <w:b w:val="0"/>
          <w:bCs w:val="0"/>
          <w:spacing w:val="6"/>
        </w:rPr>
      </w:pPr>
      <w:bookmarkStart w:id="2" w:name="_Toc15803"/>
      <w:r>
        <w:rPr>
          <w:rFonts w:hint="eastAsia" w:ascii="Times New Roman" w:hAnsi="Times New Roman" w:eastAsia="楷体" w:cs="黑体"/>
          <w:b w:val="0"/>
          <w:bCs w:val="0"/>
          <w:spacing w:val="6"/>
        </w:rPr>
        <w:t>1.2编制目的</w:t>
      </w:r>
      <w:bookmarkEnd w:id="2"/>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全面贯彻党的二十届四中全会精神，强化自然资源要素配置，提升国土空间利用效率和规划科学性、时效性，发挥国土空间规划的战略引领和刚性约束作用，保障县域“十五五”期间重大项目落地实施，为伽师县高质量发展提供坚实空间保障。</w:t>
      </w:r>
    </w:p>
    <w:p>
      <w:pPr>
        <w:pStyle w:val="3"/>
        <w:snapToGrid w:val="0"/>
        <w:spacing w:before="0" w:after="0" w:line="570" w:lineRule="exact"/>
        <w:rPr>
          <w:rFonts w:ascii="Times New Roman" w:hAnsi="Times New Roman" w:eastAsia="楷体" w:cs="黑体"/>
          <w:b w:val="0"/>
          <w:bCs w:val="0"/>
          <w:spacing w:val="6"/>
        </w:rPr>
      </w:pPr>
      <w:bookmarkStart w:id="3" w:name="_Toc7443"/>
      <w:r>
        <w:rPr>
          <w:rFonts w:hint="eastAsia" w:ascii="Times New Roman" w:hAnsi="Times New Roman" w:eastAsia="楷体" w:cs="黑体"/>
          <w:b w:val="0"/>
          <w:bCs w:val="0"/>
          <w:spacing w:val="6"/>
        </w:rPr>
        <w:t>1.3编制依据</w:t>
      </w:r>
      <w:bookmarkEnd w:id="3"/>
    </w:p>
    <w:p>
      <w:pPr>
        <w:adjustRightInd w:val="0"/>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（1）法律法规</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《中华人民共和国土地管理法》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《中华人民共和国城乡规划法》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《中华人民共和国土地管理法实施条例》</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《中华人民共和国环境保护法》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《中华人民共和国水法》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《中华人民共和国防洪法》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《中华人民共和国河道管理条例》</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《中华人民共和国森林法》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《中华人民共和国湿地保护法》</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《新疆维吾尔自治区湿地保护条例》</w:t>
      </w:r>
    </w:p>
    <w:p>
      <w:pPr>
        <w:adjustRightInd w:val="0"/>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（2）国家、自治区政策</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《中共中央 国务院关于建立国土空间规划体系并监督实施的若干意见》（中发〔2019〕18号）；</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《中共中央办公厅</w:t>
      </w:r>
      <w:r>
        <w:rPr>
          <w:rFonts w:hint="eastAsia" w:ascii="Times New Roman" w:hAnsi="Times New Roman" w:eastAsia="方正仿宋_GBK" w:cs="宋体"/>
          <w:spacing w:val="6"/>
          <w:sz w:val="32"/>
          <w:szCs w:val="32"/>
          <w:lang w:eastAsia="zh-CN"/>
        </w:rPr>
        <w:t>、</w:t>
      </w:r>
      <w:r>
        <w:rPr>
          <w:rFonts w:ascii="Times New Roman" w:hAnsi="Times New Roman" w:eastAsia="方正仿宋_GBK" w:cs="宋体"/>
          <w:spacing w:val="6"/>
          <w:sz w:val="32"/>
          <w:szCs w:val="32"/>
        </w:rPr>
        <w:t>国务院办公厅印发&lt;关于在国土空间规划中统筹划定落实三条控制线的指导意见&gt;的通知》（厅</w:t>
      </w:r>
      <w:r>
        <w:rPr>
          <w:rFonts w:hint="eastAsia" w:ascii="Times New Roman" w:hAnsi="Times New Roman" w:eastAsia="方正仿宋_GBK" w:cs="宋体"/>
          <w:spacing w:val="6"/>
          <w:sz w:val="32"/>
          <w:szCs w:val="32"/>
          <w:lang w:eastAsia="zh-CN"/>
        </w:rPr>
        <w:t>字</w:t>
      </w:r>
      <w:r>
        <w:rPr>
          <w:rFonts w:ascii="Times New Roman" w:hAnsi="Times New Roman" w:eastAsia="方正仿宋_GBK" w:cs="宋体"/>
          <w:spacing w:val="6"/>
          <w:sz w:val="32"/>
          <w:szCs w:val="32"/>
        </w:rPr>
        <w:t>〔2019〕48号）；</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《自然资源部办公厅关于加强国土空间规划监督管理的通知》（自然资办发〔2020〕27号）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《自然资源部关于在全国开展“三区三线”划定工作的函》（自然资函〔2022〕47号）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《自然资源部关于在经济发展用地要素保障工作中严守底线的通知》（自然资发〔2023〕90号）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 国家林业和草原局关于进一步做好自然资源要素保障的通知》（自然资发〔2026〕38号）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《自然资源部办公厅 国家林业和草原局办公室 关于印发〈耕地保护和国土绿化空间专项规划编制工作方案〉的函》（自然资办函〔2026〕124号）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ascii="Times New Roman" w:hAnsi="Times New Roman" w:eastAsia="方正仿宋_GBK" w:cs="宋体"/>
          <w:spacing w:val="6"/>
          <w:sz w:val="32"/>
          <w:szCs w:val="32"/>
        </w:rPr>
        <w:t>《自治区自然资源厅关于开展全区国土空间总体规划动态调整完善工作的通知》(新自然资办发〔2026〕13号</w:t>
      </w:r>
      <w:r>
        <w:rPr>
          <w:rFonts w:hint="eastAsia"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lang w:eastAsia="zh-CN"/>
        </w:rPr>
        <w:t>。</w:t>
      </w:r>
    </w:p>
    <w:p>
      <w:pPr>
        <w:adjustRightInd w:val="0"/>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（3）技术规范</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ascii="Times New Roman" w:hAnsi="Times New Roman" w:eastAsia="方正仿宋_GBK" w:cs="宋体"/>
          <w:spacing w:val="6"/>
          <w:sz w:val="32"/>
          <w:szCs w:val="32"/>
        </w:rPr>
        <w:t>《市级国土空间总体规划编制指南（试行）》（</w:t>
      </w:r>
      <w:r>
        <w:rPr>
          <w:rFonts w:hint="eastAsia" w:ascii="Times New Roman" w:hAnsi="Times New Roman" w:eastAsia="方正仿宋_GBK" w:cs="宋体"/>
          <w:spacing w:val="6"/>
          <w:sz w:val="32"/>
          <w:szCs w:val="32"/>
        </w:rPr>
        <w:t>2020年</w:t>
      </w:r>
      <w:r>
        <w:rPr>
          <w:rFonts w:ascii="Times New Roman" w:hAnsi="Times New Roman" w:eastAsia="方正仿宋_GBK" w:cs="宋体"/>
          <w:spacing w:val="6"/>
          <w:sz w:val="32"/>
          <w:szCs w:val="32"/>
        </w:rPr>
        <w:t>9</w:t>
      </w:r>
      <w:r>
        <w:rPr>
          <w:rFonts w:hint="eastAsia" w:ascii="Times New Roman" w:hAnsi="Times New Roman" w:eastAsia="方正仿宋_GBK" w:cs="宋体"/>
          <w:spacing w:val="6"/>
          <w:sz w:val="32"/>
          <w:szCs w:val="32"/>
        </w:rPr>
        <w:t>月）</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《自然资源部关于印发〈国土空间调查、规划、用途管制用地用海分类指南〉的通知》（自然资发〔2023〕234号）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《全国</w:t>
      </w:r>
      <w:r>
        <w:rPr>
          <w:rFonts w:ascii="Times New Roman" w:hAnsi="Times New Roman" w:eastAsia="方正仿宋_GBK" w:cs="宋体"/>
          <w:spacing w:val="6"/>
          <w:sz w:val="32"/>
          <w:szCs w:val="32"/>
        </w:rPr>
        <w:t>“三区三线”</w:t>
      </w:r>
      <w:r>
        <w:rPr>
          <w:rFonts w:hint="eastAsia" w:ascii="Times New Roman" w:hAnsi="Times New Roman" w:eastAsia="方正仿宋_GBK" w:cs="宋体"/>
          <w:spacing w:val="6"/>
          <w:sz w:val="32"/>
          <w:szCs w:val="32"/>
        </w:rPr>
        <w:t>划定规则》（自然资函〔2022〕47号）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《永久基本农田保护红线管理办法》（自然资源部、农业农村部令第17号）</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《自然资源部关于印发〈城镇开发边界管理办法（试行）〉的通知》（自然资规〔2026〕1号）</w:t>
      </w:r>
      <w:r>
        <w:rPr>
          <w:rFonts w:hint="eastAsia" w:ascii="Times New Roman" w:hAnsi="Times New Roman" w:eastAsia="方正仿宋_GBK" w:cs="宋体"/>
          <w:spacing w:val="6"/>
          <w:sz w:val="32"/>
          <w:szCs w:val="32"/>
          <w:lang w:eastAsia="zh-CN"/>
        </w:rPr>
        <w:t>。</w:t>
      </w:r>
    </w:p>
    <w:p>
      <w:pPr>
        <w:adjustRightInd w:val="0"/>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（4）其他文件依据</w:t>
      </w:r>
    </w:p>
    <w:p>
      <w:pPr>
        <w:snapToGrid w:val="0"/>
        <w:spacing w:line="570" w:lineRule="exact"/>
        <w:ind w:firstLine="664" w:firstLineChars="200"/>
        <w:rPr>
          <w:rFonts w:hint="eastAsia" w:ascii="Times New Roman" w:hAnsi="Times New Roman" w:eastAsia="方正仿宋_GBK" w:cs="宋体"/>
          <w:spacing w:val="6"/>
          <w:sz w:val="32"/>
          <w:szCs w:val="32"/>
          <w:lang w:eastAsia="zh-CN"/>
        </w:rPr>
      </w:pPr>
      <w:r>
        <w:rPr>
          <w:rFonts w:hint="eastAsia" w:ascii="Times New Roman" w:hAnsi="Times New Roman" w:eastAsia="方正仿宋_GBK" w:cs="宋体"/>
          <w:spacing w:val="6"/>
          <w:sz w:val="32"/>
          <w:szCs w:val="32"/>
        </w:rPr>
        <w:t>《喀什地区国土空间总体规划（2021-2035年）》</w:t>
      </w:r>
      <w:r>
        <w:rPr>
          <w:rFonts w:hint="eastAsia" w:ascii="Times New Roman" w:hAnsi="Times New Roman" w:eastAsia="方正仿宋_GBK" w:cs="宋体"/>
          <w:spacing w:val="6"/>
          <w:sz w:val="32"/>
          <w:szCs w:val="32"/>
          <w:lang w:eastAsia="zh-CN"/>
        </w:rPr>
        <w:t>；</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伽师</w:t>
      </w:r>
      <w:r>
        <w:rPr>
          <w:rFonts w:ascii="Times New Roman" w:hAnsi="Times New Roman" w:eastAsia="方正仿宋_GBK" w:cs="宋体"/>
          <w:spacing w:val="6"/>
          <w:sz w:val="32"/>
          <w:szCs w:val="32"/>
        </w:rPr>
        <w:t>县国土空间总体规划（2021-2035年）》</w:t>
      </w:r>
      <w:r>
        <w:rPr>
          <w:rFonts w:hint="eastAsia" w:ascii="Times New Roman" w:hAnsi="Times New Roman" w:eastAsia="方正仿宋_GBK" w:cs="宋体"/>
          <w:spacing w:val="6"/>
          <w:sz w:val="32"/>
          <w:szCs w:val="32"/>
        </w:rPr>
        <w:t>；</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国家、</w:t>
      </w:r>
      <w:r>
        <w:rPr>
          <w:rFonts w:hint="eastAsia" w:ascii="Times New Roman" w:hAnsi="Times New Roman" w:eastAsia="方正仿宋_GBK" w:cs="宋体"/>
          <w:spacing w:val="6"/>
          <w:sz w:val="32"/>
          <w:szCs w:val="32"/>
        </w:rPr>
        <w:t>自治区</w:t>
      </w: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地区其他</w:t>
      </w:r>
      <w:r>
        <w:rPr>
          <w:rFonts w:ascii="Times New Roman" w:hAnsi="Times New Roman" w:eastAsia="方正仿宋_GBK" w:cs="宋体"/>
          <w:spacing w:val="6"/>
          <w:sz w:val="32"/>
          <w:szCs w:val="32"/>
        </w:rPr>
        <w:t>相关</w:t>
      </w:r>
      <w:r>
        <w:rPr>
          <w:rFonts w:hint="eastAsia" w:ascii="Times New Roman" w:hAnsi="Times New Roman" w:eastAsia="方正仿宋_GBK" w:cs="宋体"/>
          <w:spacing w:val="6"/>
          <w:sz w:val="32"/>
          <w:szCs w:val="32"/>
        </w:rPr>
        <w:t>法律法规</w:t>
      </w:r>
      <w:r>
        <w:rPr>
          <w:rFonts w:ascii="Times New Roman" w:hAnsi="Times New Roman" w:eastAsia="方正仿宋_GBK" w:cs="宋体"/>
          <w:spacing w:val="6"/>
          <w:sz w:val="32"/>
          <w:szCs w:val="32"/>
        </w:rPr>
        <w:t>、规章和标准规范。</w:t>
      </w:r>
    </w:p>
    <w:p>
      <w:pPr>
        <w:pStyle w:val="3"/>
        <w:snapToGrid w:val="0"/>
        <w:spacing w:before="0" w:after="0" w:line="570" w:lineRule="exact"/>
        <w:rPr>
          <w:rFonts w:ascii="Times New Roman" w:hAnsi="Times New Roman" w:eastAsia="楷体" w:cs="黑体"/>
          <w:b w:val="0"/>
          <w:bCs w:val="0"/>
          <w:spacing w:val="6"/>
        </w:rPr>
      </w:pPr>
      <w:bookmarkStart w:id="4" w:name="_Toc30342"/>
      <w:r>
        <w:rPr>
          <w:rFonts w:hint="eastAsia" w:ascii="Times New Roman" w:hAnsi="Times New Roman" w:eastAsia="楷体" w:cs="黑体"/>
          <w:b w:val="0"/>
          <w:bCs w:val="0"/>
          <w:spacing w:val="6"/>
        </w:rPr>
        <w:t>1.4编制范围</w:t>
      </w:r>
      <w:bookmarkEnd w:id="4"/>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本次动态维护工作的编制范围与已批复的《伽师县国土空间总体规划（2021-2035 年）》范围一致，为伽师县行政管辖全域范围。</w:t>
      </w:r>
    </w:p>
    <w:p>
      <w:pPr>
        <w:pStyle w:val="3"/>
        <w:snapToGrid w:val="0"/>
        <w:spacing w:before="0" w:after="0" w:line="570" w:lineRule="exact"/>
        <w:rPr>
          <w:rFonts w:ascii="Times New Roman" w:hAnsi="Times New Roman" w:eastAsia="楷体" w:cs="黑体"/>
          <w:b w:val="0"/>
          <w:bCs w:val="0"/>
          <w:spacing w:val="6"/>
        </w:rPr>
      </w:pPr>
      <w:bookmarkStart w:id="5" w:name="_Toc10219"/>
      <w:r>
        <w:rPr>
          <w:rFonts w:hint="eastAsia" w:ascii="Times New Roman" w:hAnsi="Times New Roman" w:eastAsia="楷体" w:cs="黑体"/>
          <w:b w:val="0"/>
          <w:bCs w:val="0"/>
          <w:spacing w:val="6"/>
        </w:rPr>
        <w:t>1.5编制原则</w:t>
      </w:r>
      <w:bookmarkEnd w:id="5"/>
    </w:p>
    <w:p>
      <w:pPr>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（1）</w:t>
      </w:r>
      <w:r>
        <w:rPr>
          <w:rFonts w:ascii="Times New Roman" w:hAnsi="Times New Roman" w:eastAsia="方正仿宋_GBK" w:cs="宋体"/>
          <w:b/>
          <w:bCs/>
          <w:spacing w:val="6"/>
          <w:sz w:val="32"/>
          <w:szCs w:val="32"/>
        </w:rPr>
        <w:t>保护优先、守牢底线</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坚持耕地保护优先，确保国家粮食安全底线；坚持生态优先，维护生态系统稳定性，坚持节约集约，促进土地高效利用和空间治理效能显著提升。</w:t>
      </w:r>
    </w:p>
    <w:p>
      <w:pPr>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（2）</w:t>
      </w:r>
      <w:r>
        <w:rPr>
          <w:rFonts w:ascii="Times New Roman" w:hAnsi="Times New Roman" w:eastAsia="方正仿宋_GBK" w:cs="宋体"/>
          <w:b/>
          <w:bCs/>
          <w:spacing w:val="6"/>
          <w:sz w:val="32"/>
          <w:szCs w:val="32"/>
        </w:rPr>
        <w:t>问题导向、评估先行</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通过国土空间规划体检评估，全面掌握国土空间总体规划实施情况，及时发现国土空间开发保护中存在的问题。</w:t>
      </w:r>
    </w:p>
    <w:p>
      <w:pPr>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（3）</w:t>
      </w:r>
      <w:r>
        <w:rPr>
          <w:rFonts w:ascii="Times New Roman" w:hAnsi="Times New Roman" w:eastAsia="方正仿宋_GBK" w:cs="宋体"/>
          <w:b/>
          <w:bCs/>
          <w:spacing w:val="6"/>
          <w:sz w:val="32"/>
          <w:szCs w:val="32"/>
        </w:rPr>
        <w:t>规划引领、系统谋划</w:t>
      </w:r>
    </w:p>
    <w:p>
      <w:pPr>
        <w:snapToGrid w:val="0"/>
        <w:spacing w:line="570" w:lineRule="exact"/>
        <w:ind w:firstLine="664" w:firstLineChars="200"/>
        <w:rPr>
          <w:rFonts w:ascii="Times New Roman" w:hAnsi="Times New Roman" w:eastAsia="方正仿宋_GBK" w:cs="宋体"/>
          <w:spacing w:val="6"/>
          <w:sz w:val="32"/>
          <w:szCs w:val="32"/>
        </w:rPr>
      </w:pPr>
      <w:r>
        <w:rPr>
          <w:rFonts w:ascii="Times New Roman" w:hAnsi="Times New Roman" w:eastAsia="方正仿宋_GBK" w:cs="宋体"/>
          <w:spacing w:val="6"/>
          <w:sz w:val="32"/>
          <w:szCs w:val="32"/>
        </w:rPr>
        <w:t>坚持国土空间规划是空间发展的指南、可持续发展的空间蓝图，是各类开发保护建设活动的基本依据。按照“大稳定、小调整”的总体原则，分年度开展国土空间规划动态维护。</w:t>
      </w:r>
    </w:p>
    <w:p>
      <w:pPr>
        <w:pStyle w:val="3"/>
        <w:snapToGrid w:val="0"/>
        <w:spacing w:before="0" w:after="0" w:line="570" w:lineRule="exact"/>
        <w:rPr>
          <w:rFonts w:ascii="Times New Roman" w:hAnsi="Times New Roman" w:eastAsia="楷体" w:cs="黑体"/>
          <w:b w:val="0"/>
          <w:bCs w:val="0"/>
          <w:spacing w:val="6"/>
        </w:rPr>
      </w:pPr>
      <w:r>
        <w:rPr>
          <w:rFonts w:hint="eastAsia" w:ascii="Times New Roman" w:hAnsi="Times New Roman" w:eastAsia="楷体" w:cs="黑体"/>
          <w:b w:val="0"/>
          <w:bCs w:val="0"/>
          <w:spacing w:val="6"/>
        </w:rPr>
        <w:t>1.6维护重点</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本次国土空间总体规划动态维护主要针对永久基本农田、生态保护红线、城镇开发边界、规划分区、中心城区用地规划布局、城市重要控制线、重点建设项目清单等进行局部优化调整。</w:t>
      </w:r>
    </w:p>
    <w:p>
      <w:pPr>
        <w:pStyle w:val="2"/>
        <w:numPr>
          <w:ilvl w:val="0"/>
          <w:numId w:val="1"/>
        </w:numPr>
        <w:snapToGrid w:val="0"/>
        <w:spacing w:before="0" w:after="0" w:line="570" w:lineRule="exact"/>
        <w:jc w:val="both"/>
        <w:rPr>
          <w:rFonts w:ascii="Times New Roman" w:hAnsi="Times New Roman" w:eastAsia="方正黑体_GBK" w:cs="黑体"/>
          <w:b w:val="0"/>
          <w:bCs w:val="0"/>
          <w:spacing w:val="6"/>
          <w:sz w:val="32"/>
          <w:szCs w:val="32"/>
        </w:rPr>
      </w:pPr>
      <w:r>
        <w:rPr>
          <w:rFonts w:hint="eastAsia" w:ascii="Times New Roman" w:hAnsi="Times New Roman" w:eastAsia="方正黑体_GBK" w:cs="黑体"/>
          <w:b w:val="0"/>
          <w:bCs w:val="0"/>
          <w:spacing w:val="6"/>
          <w:sz w:val="32"/>
          <w:szCs w:val="32"/>
        </w:rPr>
        <w:t>动态维护方案</w:t>
      </w:r>
    </w:p>
    <w:p>
      <w:pPr>
        <w:pStyle w:val="3"/>
        <w:snapToGrid w:val="0"/>
        <w:spacing w:before="0" w:after="0" w:line="570" w:lineRule="exact"/>
        <w:rPr>
          <w:rFonts w:ascii="Times New Roman" w:hAnsi="Times New Roman" w:eastAsia="楷体" w:cs="黑体"/>
          <w:b w:val="0"/>
          <w:bCs w:val="0"/>
          <w:spacing w:val="6"/>
        </w:rPr>
      </w:pPr>
      <w:bookmarkStart w:id="6" w:name="_Toc27305"/>
      <w:r>
        <w:rPr>
          <w:rFonts w:hint="eastAsia" w:ascii="Times New Roman" w:hAnsi="Times New Roman" w:eastAsia="楷体" w:cs="黑体"/>
          <w:b w:val="0"/>
          <w:bCs w:val="0"/>
          <w:spacing w:val="6"/>
        </w:rPr>
        <w:t xml:space="preserve">2.1 </w:t>
      </w:r>
      <w:bookmarkStart w:id="7" w:name="_Toc226540409"/>
      <w:r>
        <w:rPr>
          <w:rFonts w:hint="eastAsia" w:ascii="Times New Roman" w:hAnsi="Times New Roman" w:eastAsia="楷体" w:cs="黑体"/>
          <w:b w:val="0"/>
          <w:bCs w:val="0"/>
          <w:spacing w:val="6"/>
        </w:rPr>
        <w:t>空间管控边界维护</w:t>
      </w:r>
      <w:bookmarkEnd w:id="6"/>
      <w:bookmarkEnd w:id="7"/>
    </w:p>
    <w:p>
      <w:pPr>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w:t>
      </w:r>
      <w:r>
        <w:rPr>
          <w:rFonts w:ascii="Times New Roman" w:hAnsi="Times New Roman" w:eastAsia="方正仿宋_GBK" w:cs="宋体"/>
          <w:b/>
          <w:bCs/>
          <w:spacing w:val="6"/>
          <w:sz w:val="32"/>
          <w:szCs w:val="32"/>
        </w:rPr>
        <w:t>1</w:t>
      </w:r>
      <w:r>
        <w:rPr>
          <w:rFonts w:hint="eastAsia" w:ascii="Times New Roman" w:hAnsi="Times New Roman" w:eastAsia="方正仿宋_GBK" w:cs="宋体"/>
          <w:b/>
          <w:bCs/>
          <w:spacing w:val="6"/>
          <w:sz w:val="32"/>
          <w:szCs w:val="32"/>
        </w:rPr>
        <w:t>）永久基本农田</w:t>
      </w:r>
    </w:p>
    <w:p>
      <w:pPr>
        <w:snapToGrid w:val="0"/>
        <w:spacing w:line="570" w:lineRule="exact"/>
        <w:ind w:firstLine="664"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spacing w:val="6"/>
          <w:sz w:val="32"/>
          <w:szCs w:val="32"/>
        </w:rPr>
        <w:t>本次动态维护拟调出重点为因林粮间作导致地类变更的地块、已办理用地手续、非耕地、零星破碎地块以及与国家批准林地存在空间冲突的地块；调入重点为集中连片、质量较好的稳定耕地和已建成高标准农田。</w:t>
      </w:r>
    </w:p>
    <w:p>
      <w:pPr>
        <w:snapToGrid w:val="0"/>
        <w:spacing w:line="570" w:lineRule="exact"/>
        <w:ind w:firstLine="667"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b/>
          <w:bCs/>
          <w:spacing w:val="6"/>
          <w:sz w:val="32"/>
          <w:szCs w:val="32"/>
        </w:rPr>
        <w:t>（</w:t>
      </w:r>
      <w:r>
        <w:rPr>
          <w:rFonts w:ascii="Times New Roman" w:hAnsi="Times New Roman" w:eastAsia="方正仿宋_GBK" w:cs="宋体"/>
          <w:b/>
          <w:bCs/>
          <w:spacing w:val="6"/>
          <w:sz w:val="32"/>
          <w:szCs w:val="32"/>
        </w:rPr>
        <w:t>2</w:t>
      </w:r>
      <w:r>
        <w:rPr>
          <w:rFonts w:hint="eastAsia" w:ascii="Times New Roman" w:hAnsi="Times New Roman" w:eastAsia="方正仿宋_GBK" w:cs="宋体"/>
          <w:b/>
          <w:bCs/>
          <w:spacing w:val="6"/>
          <w:sz w:val="32"/>
          <w:szCs w:val="32"/>
        </w:rPr>
        <w:t>）生态保护红线</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本次动态维护涉及生态保护红线调整矛盾退出，有序退出生态保护红线内不符合管控要求的现状耕地，主要为生态保护红线内不适宜保留的耕地等矛盾地块退出，符合“任务不减少”原则（因矛盾冲突调出不涉及红线功能降低）。</w:t>
      </w:r>
    </w:p>
    <w:p>
      <w:pPr>
        <w:snapToGrid w:val="0"/>
        <w:spacing w:line="570" w:lineRule="exact"/>
        <w:ind w:firstLine="664" w:firstLineChars="200"/>
        <w:rPr>
          <w:rFonts w:ascii="Times New Roman" w:hAnsi="Times New Roman" w:eastAsia="方正仿宋_GBK" w:cs="宋体"/>
          <w:b/>
          <w:bCs/>
          <w:spacing w:val="6"/>
          <w:sz w:val="32"/>
          <w:szCs w:val="32"/>
        </w:rPr>
      </w:pPr>
      <w:r>
        <w:rPr>
          <w:rFonts w:hint="eastAsia" w:ascii="Times New Roman" w:hAnsi="Times New Roman" w:eastAsia="方正仿宋_GBK" w:cs="宋体"/>
          <w:spacing w:val="6"/>
          <w:sz w:val="32"/>
          <w:szCs w:val="32"/>
        </w:rPr>
        <w:t xml:space="preserve"> </w:t>
      </w:r>
      <w:r>
        <w:rPr>
          <w:rFonts w:hint="eastAsia" w:ascii="Times New Roman" w:hAnsi="Times New Roman" w:eastAsia="方正仿宋_GBK" w:cs="宋体"/>
          <w:b/>
          <w:bCs/>
          <w:spacing w:val="6"/>
          <w:sz w:val="32"/>
          <w:szCs w:val="32"/>
        </w:rPr>
        <w:t>（3）城镇开发边界</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本次动态维护严格按照“总量不突破、布局更集聚、城镇功能品质有提高”的正向优化原则，重点解决城镇开发边界破碎化和项目保障不足问题。对位于城镇开发边界内部、近期无开发建设计划的零碎地块进行调出；保障“十五五”重点项目落地的地块调入城镇开发边界。</w:t>
      </w:r>
    </w:p>
    <w:p>
      <w:pPr>
        <w:pStyle w:val="3"/>
        <w:snapToGrid w:val="0"/>
        <w:spacing w:before="0" w:after="0" w:line="570" w:lineRule="exact"/>
        <w:rPr>
          <w:rFonts w:ascii="Times New Roman" w:hAnsi="Times New Roman" w:eastAsia="楷体" w:cs="黑体"/>
          <w:b w:val="0"/>
          <w:bCs w:val="0"/>
          <w:spacing w:val="6"/>
        </w:rPr>
      </w:pPr>
      <w:r>
        <w:rPr>
          <w:rFonts w:hint="eastAsia" w:ascii="Times New Roman" w:hAnsi="Times New Roman" w:eastAsia="楷体" w:cs="黑体"/>
          <w:b w:val="0"/>
          <w:bCs w:val="0"/>
          <w:spacing w:val="6"/>
        </w:rPr>
        <w:t>2.2 规划分区维护</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依据三条控制线正向优化成果，同步调整城镇发展区、乡村发展区等规划分区开展动态维护。维护后各级分区比例基本稳定，各类空间功能有效衔接。</w:t>
      </w:r>
    </w:p>
    <w:p>
      <w:pPr>
        <w:pStyle w:val="3"/>
        <w:snapToGrid w:val="0"/>
        <w:spacing w:before="0" w:after="0" w:line="570" w:lineRule="exact"/>
        <w:rPr>
          <w:rFonts w:ascii="Times New Roman" w:hAnsi="Times New Roman" w:eastAsia="楷体" w:cs="黑体"/>
          <w:b w:val="0"/>
          <w:bCs w:val="0"/>
          <w:spacing w:val="6"/>
        </w:rPr>
      </w:pPr>
      <w:r>
        <w:rPr>
          <w:rFonts w:hint="eastAsia" w:ascii="Times New Roman" w:hAnsi="Times New Roman" w:eastAsia="楷体" w:cs="黑体"/>
          <w:b w:val="0"/>
          <w:bCs w:val="0"/>
          <w:spacing w:val="6"/>
        </w:rPr>
        <w:t>2.3 中心城区用地规划布局维护</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结合三条控制线、规划分区动态维护，以“严守底线、优化布局、保障发展、提升品质”为导向，在不改变城市总体格局和空间结构的基础上，衔接建设用地审批范围、城镇建设用地使用权限等，重点对绿地、交通、工业等用地进行局部优化，旨在保障“十五五”公用设施、民生等重点建设项目落地需求。</w:t>
      </w:r>
    </w:p>
    <w:p>
      <w:pPr>
        <w:pStyle w:val="3"/>
        <w:snapToGrid w:val="0"/>
        <w:spacing w:before="0" w:after="0" w:line="570" w:lineRule="exact"/>
        <w:rPr>
          <w:rFonts w:ascii="Times New Roman" w:hAnsi="Times New Roman" w:eastAsia="楷体" w:cs="黑体"/>
          <w:b w:val="0"/>
          <w:bCs w:val="0"/>
          <w:spacing w:val="6"/>
        </w:rPr>
      </w:pPr>
      <w:r>
        <w:rPr>
          <w:rFonts w:hint="eastAsia" w:ascii="Times New Roman" w:hAnsi="Times New Roman" w:eastAsia="楷体" w:cs="黑体"/>
          <w:b w:val="0"/>
          <w:bCs w:val="0"/>
          <w:spacing w:val="6"/>
        </w:rPr>
        <w:t>2.4 城市“四线”维护</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在不突破已批复国土空间总体规划确定的城市</w:t>
      </w: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四线</w:t>
      </w: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规模，不改变整体空间布局的基础上，突出底线安全保障和公共利益优先的导向，结合相关专项规划、详细规划的深化细化，按照</w:t>
      </w: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保护更完善，布局更优化，功能有提升</w:t>
      </w:r>
      <w:r>
        <w:rPr>
          <w:rFonts w:ascii="Times New Roman" w:hAnsi="Times New Roman" w:eastAsia="方正仿宋_GBK" w:cs="宋体"/>
          <w:spacing w:val="6"/>
          <w:sz w:val="32"/>
          <w:szCs w:val="32"/>
        </w:rPr>
        <w:t>”</w:t>
      </w:r>
      <w:r>
        <w:rPr>
          <w:rFonts w:hint="eastAsia" w:ascii="Times New Roman" w:hAnsi="Times New Roman" w:eastAsia="方正仿宋_GBK" w:cs="宋体"/>
          <w:spacing w:val="6"/>
          <w:sz w:val="32"/>
          <w:szCs w:val="32"/>
        </w:rPr>
        <w:t>的原则，会同相关行业主管部门充分论证，对城市绿线、黄线进行调整。调整后格局保持稳定，功能更适配。</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城市绿线动态维护在布局规模稳定、功能服务不降低的前提下，结合用地审批、道路等专项规划优化边界，确保城市重要的结构性绿地纳入管控。</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城市黄线动态维护在功能服务不降低的前提下，将已建成并持续使用的城市重大交通、市政及公共安全设施纳入管控，并结合市政、防灾等建设方案优化细化边界。</w:t>
      </w:r>
    </w:p>
    <w:p>
      <w:pPr>
        <w:pStyle w:val="3"/>
        <w:snapToGrid w:val="0"/>
        <w:spacing w:before="0" w:after="0" w:line="570" w:lineRule="exact"/>
        <w:rPr>
          <w:rFonts w:ascii="Times New Roman" w:hAnsi="Times New Roman" w:eastAsia="楷体" w:cs="黑体"/>
          <w:b w:val="0"/>
          <w:bCs w:val="0"/>
          <w:spacing w:val="6"/>
        </w:rPr>
      </w:pPr>
      <w:r>
        <w:rPr>
          <w:rFonts w:hint="eastAsia" w:ascii="Times New Roman" w:hAnsi="Times New Roman" w:eastAsia="楷体" w:cs="黑体"/>
          <w:b w:val="0"/>
          <w:bCs w:val="0"/>
          <w:spacing w:val="6"/>
        </w:rPr>
        <w:t>2.5 重点建设项目清单维护</w:t>
      </w:r>
    </w:p>
    <w:p>
      <w:pPr>
        <w:snapToGrid w:val="0"/>
        <w:spacing w:line="570" w:lineRule="exact"/>
        <w:ind w:firstLine="664" w:firstLineChars="200"/>
        <w:rPr>
          <w:rFonts w:ascii="Times New Roman" w:hAnsi="Times New Roman" w:eastAsia="方正仿宋_GBK" w:cs="宋体"/>
          <w:spacing w:val="6"/>
          <w:sz w:val="32"/>
          <w:szCs w:val="32"/>
        </w:rPr>
      </w:pPr>
      <w:r>
        <w:rPr>
          <w:rFonts w:hint="eastAsia" w:ascii="Times New Roman" w:hAnsi="Times New Roman" w:eastAsia="方正仿宋_GBK" w:cs="宋体"/>
          <w:spacing w:val="6"/>
          <w:sz w:val="32"/>
          <w:szCs w:val="32"/>
        </w:rPr>
        <w:t>落实“十五五”规划</w:t>
      </w:r>
      <w:r>
        <w:rPr>
          <w:rFonts w:hint="eastAsia" w:ascii="Times New Roman" w:hAnsi="Times New Roman" w:eastAsia="仿宋_GB2312"/>
          <w:bCs/>
          <w:color w:val="000000" w:themeColor="text1"/>
          <w:sz w:val="32"/>
          <w:szCs w:val="32"/>
          <w14:textFill>
            <w14:solidFill>
              <w14:schemeClr w14:val="tx1"/>
            </w14:solidFill>
          </w14:textFill>
        </w:rPr>
        <w:t>纲要确定的重大任务、重大工程空间需求。</w:t>
      </w:r>
      <w:r>
        <w:rPr>
          <w:rFonts w:hint="eastAsia" w:ascii="Times New Roman" w:hAnsi="Times New Roman" w:eastAsia="方正仿宋_GBK" w:cs="宋体"/>
          <w:spacing w:val="6"/>
          <w:sz w:val="32"/>
          <w:szCs w:val="32"/>
        </w:rPr>
        <w:t>包含交通、水利、能源、电力、通讯、生态、民生、产业、旅游、城市基础设施、防灾减灾、其他十类重大项目</w:t>
      </w:r>
      <w:r>
        <w:rPr>
          <w:rFonts w:hint="eastAsia" w:ascii="Times New Roman" w:hAnsi="Times New Roman" w:eastAsia="仿宋_GB2312"/>
          <w:bCs/>
          <w:color w:val="000000" w:themeColor="text1"/>
          <w:sz w:val="32"/>
          <w:szCs w:val="32"/>
          <w14:textFill>
            <w14:solidFill>
              <w14:schemeClr w14:val="tx1"/>
            </w14:solidFill>
          </w14:textFill>
        </w:rPr>
        <w:t>，按照精准落位、示意上图或增补清单等方式纳入“一张图”系统</w:t>
      </w:r>
      <w:r>
        <w:rPr>
          <w:rFonts w:hint="eastAsia" w:ascii="Times New Roman" w:hAnsi="Times New Roman" w:eastAsia="方正仿宋_GBK" w:cs="宋体"/>
          <w:spacing w:val="6"/>
          <w:sz w:val="32"/>
          <w:szCs w:val="32"/>
        </w:rPr>
        <w:t>。</w:t>
      </w:r>
    </w:p>
    <w:p>
      <w:pPr>
        <w:snapToGrid w:val="0"/>
        <w:spacing w:line="570" w:lineRule="exact"/>
        <w:ind w:firstLine="640" w:firstLineChars="200"/>
        <w:rPr>
          <w:rFonts w:hint="eastAsia" w:ascii="Times New Roman" w:hAnsi="Times New Roman" w:eastAsia="楷体"/>
          <w:sz w:val="32"/>
          <w:szCs w:val="32"/>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楷体"/>
          <w:sz w:val="32"/>
          <w:szCs w:val="32"/>
        </w:rPr>
        <w:t>注：本次动态维护方案内容以审查核准后成果为准</w:t>
      </w:r>
    </w:p>
    <w:p>
      <w:pPr>
        <w:snapToGrid w:val="0"/>
        <w:spacing w:line="240" w:lineRule="auto"/>
        <w:ind w:firstLine="640" w:firstLineChars="200"/>
        <w:rPr>
          <w:rFonts w:hint="eastAsia" w:ascii="Times New Roman" w:hAnsi="Times New Roman" w:eastAsia="楷体"/>
          <w:sz w:val="32"/>
          <w:szCs w:val="32"/>
          <w:lang w:eastAsia="zh-CN"/>
        </w:rPr>
      </w:pPr>
      <w:r>
        <w:rPr>
          <w:rFonts w:hint="eastAsia" w:ascii="Times New Roman" w:hAnsi="Times New Roman" w:eastAsia="楷体"/>
          <w:sz w:val="32"/>
          <w:szCs w:val="32"/>
          <w:lang w:eastAsia="zh-CN"/>
        </w:rPr>
        <w:drawing>
          <wp:inline distT="0" distB="0" distL="114300" distR="114300">
            <wp:extent cx="7449185" cy="5260340"/>
            <wp:effectExtent l="0" t="0" r="18415" b="16510"/>
            <wp:docPr id="1" name="图片 1" descr="关于伽师县国土空间总体规划动态维护方案（三线调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关于伽师县国土空间总体规划动态维护方案（三线调出）"/>
                    <pic:cNvPicPr>
                      <a:picLocks noChangeAspect="1"/>
                    </pic:cNvPicPr>
                  </pic:nvPicPr>
                  <pic:blipFill>
                    <a:blip r:embed="rId4"/>
                    <a:stretch>
                      <a:fillRect/>
                    </a:stretch>
                  </pic:blipFill>
                  <pic:spPr>
                    <a:xfrm>
                      <a:off x="0" y="0"/>
                      <a:ext cx="7449185" cy="5260340"/>
                    </a:xfrm>
                    <a:prstGeom prst="rect">
                      <a:avLst/>
                    </a:prstGeom>
                  </pic:spPr>
                </pic:pic>
              </a:graphicData>
            </a:graphic>
          </wp:inline>
        </w:drawing>
      </w:r>
    </w:p>
    <w:p>
      <w:pPr>
        <w:snapToGrid w:val="0"/>
        <w:spacing w:line="240" w:lineRule="auto"/>
        <w:ind w:firstLine="664" w:firstLineChars="200"/>
        <w:rPr>
          <w:rFonts w:hint="eastAsia" w:ascii="Times New Roman" w:hAnsi="Times New Roman" w:eastAsia="宋体" w:cs="宋体"/>
          <w:spacing w:val="6"/>
          <w:sz w:val="32"/>
          <w:szCs w:val="32"/>
          <w:lang w:eastAsia="zh-CN"/>
        </w:rPr>
      </w:pPr>
      <w:r>
        <w:rPr>
          <w:rFonts w:hint="eastAsia" w:ascii="Times New Roman" w:hAnsi="Times New Roman" w:eastAsia="宋体" w:cs="宋体"/>
          <w:spacing w:val="6"/>
          <w:sz w:val="32"/>
          <w:szCs w:val="32"/>
          <w:lang w:eastAsia="zh-CN"/>
        </w:rPr>
        <w:drawing>
          <wp:inline distT="0" distB="0" distL="114300" distR="114300">
            <wp:extent cx="7449185" cy="5260340"/>
            <wp:effectExtent l="0" t="0" r="18415" b="16510"/>
            <wp:docPr id="2" name="图片 2" descr="关于伽师县国土空间总体规划动态维护方案（三线调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伽师县国土空间总体规划动态维护方案（三线调入）"/>
                    <pic:cNvPicPr>
                      <a:picLocks noChangeAspect="1"/>
                    </pic:cNvPicPr>
                  </pic:nvPicPr>
                  <pic:blipFill>
                    <a:blip r:embed="rId5"/>
                    <a:stretch>
                      <a:fillRect/>
                    </a:stretch>
                  </pic:blipFill>
                  <pic:spPr>
                    <a:xfrm>
                      <a:off x="0" y="0"/>
                      <a:ext cx="7449185" cy="5260340"/>
                    </a:xfrm>
                    <a:prstGeom prst="rect">
                      <a:avLst/>
                    </a:prstGeom>
                  </pic:spPr>
                </pic:pic>
              </a:graphicData>
            </a:graphic>
          </wp:inline>
        </w:drawing>
      </w:r>
      <w:bookmarkStart w:id="8" w:name="_GoBack"/>
      <w:bookmarkEnd w:id="8"/>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2D040D"/>
    <w:multiLevelType w:val="singleLevel"/>
    <w:tmpl w:val="C82D04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AD2D4A"/>
    <w:rsid w:val="000440F2"/>
    <w:rsid w:val="00181CB2"/>
    <w:rsid w:val="001A4212"/>
    <w:rsid w:val="00224AB6"/>
    <w:rsid w:val="0023225C"/>
    <w:rsid w:val="002C4608"/>
    <w:rsid w:val="00325B53"/>
    <w:rsid w:val="00425241"/>
    <w:rsid w:val="004D6299"/>
    <w:rsid w:val="004F1EDB"/>
    <w:rsid w:val="00527171"/>
    <w:rsid w:val="00546319"/>
    <w:rsid w:val="005922C1"/>
    <w:rsid w:val="005A4E6D"/>
    <w:rsid w:val="005D781F"/>
    <w:rsid w:val="005E693F"/>
    <w:rsid w:val="00696367"/>
    <w:rsid w:val="007A5669"/>
    <w:rsid w:val="007E58F7"/>
    <w:rsid w:val="008710AE"/>
    <w:rsid w:val="008862B5"/>
    <w:rsid w:val="008E224E"/>
    <w:rsid w:val="0090245A"/>
    <w:rsid w:val="00941BA2"/>
    <w:rsid w:val="00A547C7"/>
    <w:rsid w:val="00AB7124"/>
    <w:rsid w:val="00C06215"/>
    <w:rsid w:val="00D4460D"/>
    <w:rsid w:val="00D55C8A"/>
    <w:rsid w:val="00E767AF"/>
    <w:rsid w:val="00E810E7"/>
    <w:rsid w:val="00FD3F65"/>
    <w:rsid w:val="0B026A1A"/>
    <w:rsid w:val="2E651A37"/>
    <w:rsid w:val="436F4982"/>
    <w:rsid w:val="50B60C68"/>
    <w:rsid w:val="56E5717A"/>
    <w:rsid w:val="5B6E700E"/>
    <w:rsid w:val="6B7A74BE"/>
    <w:rsid w:val="6EE40E94"/>
    <w:rsid w:val="72AD2D4A"/>
    <w:rsid w:val="73810E15"/>
    <w:rsid w:val="764B4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9"/>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unhideWhenUsed/>
    <w:qFormat/>
    <w:uiPriority w:val="9"/>
    <w:pPr>
      <w:spacing w:before="320" w:after="120" w:line="288" w:lineRule="auto"/>
      <w:outlineLvl w:val="1"/>
    </w:pPr>
    <w:rPr>
      <w:rFonts w:ascii="Arial" w:hAnsi="Arial" w:eastAsia="仿宋" w:cs="Arial"/>
      <w:b/>
      <w:bCs/>
      <w:sz w:val="32"/>
      <w:szCs w:val="32"/>
      <w:lang w:val="en-US" w:eastAsia="zh-CN" w:bidi="ar-SA"/>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5"/>
    <w:next w:val="5"/>
    <w:link w:val="17"/>
    <w:qFormat/>
    <w:uiPriority w:val="0"/>
    <w:rPr>
      <w:b/>
      <w:bCs/>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paragraph" w:customStyle="1" w:styleId="14">
    <w:name w:val="正文内容"/>
    <w:basedOn w:val="1"/>
    <w:qFormat/>
    <w:uiPriority w:val="0"/>
    <w:pPr>
      <w:spacing w:line="360" w:lineRule="auto"/>
      <w:ind w:firstLine="584" w:firstLineChars="200"/>
    </w:pPr>
    <w:rPr>
      <w:rFonts w:hint="eastAsia" w:ascii="宋体" w:hAnsi="宋体" w:eastAsia="宋体" w:cs="宋体"/>
      <w:spacing w:val="6"/>
      <w:sz w:val="28"/>
      <w:szCs w:val="28"/>
    </w:rPr>
  </w:style>
  <w:style w:type="paragraph" w:customStyle="1" w:styleId="15">
    <w:name w:val="111文"/>
    <w:basedOn w:val="1"/>
    <w:qFormat/>
    <w:uiPriority w:val="0"/>
    <w:pPr>
      <w:spacing w:line="600" w:lineRule="exact"/>
      <w:ind w:firstLine="640" w:firstLineChars="200"/>
    </w:pPr>
    <w:rPr>
      <w:rFonts w:ascii="Times New Roman" w:hAnsi="Times New Roman" w:eastAsia="仿宋_GB2312" w:cs="Times New Roman"/>
      <w:bCs/>
      <w:sz w:val="32"/>
    </w:rPr>
  </w:style>
  <w:style w:type="character" w:customStyle="1" w:styleId="16">
    <w:name w:val="批注文字 字符"/>
    <w:basedOn w:val="11"/>
    <w:link w:val="5"/>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9"/>
    <w:qFormat/>
    <w:uiPriority w:val="0"/>
    <w:rPr>
      <w:rFonts w:asciiTheme="minorHAnsi" w:hAnsiTheme="minorHAnsi" w:eastAsiaTheme="minorEastAsia" w:cstheme="minorBidi"/>
      <w:b/>
      <w:bCs/>
      <w:kern w:val="2"/>
      <w:sz w:val="21"/>
      <w:szCs w:val="24"/>
    </w:rPr>
  </w:style>
  <w:style w:type="character" w:customStyle="1" w:styleId="18">
    <w:name w:val="页眉 字符"/>
    <w:basedOn w:val="11"/>
    <w:link w:val="7"/>
    <w:qFormat/>
    <w:uiPriority w:val="0"/>
    <w:rPr>
      <w:rFonts w:asciiTheme="minorHAnsi" w:hAnsiTheme="minorHAnsi" w:eastAsiaTheme="minorEastAsia" w:cstheme="minorBidi"/>
      <w:kern w:val="2"/>
      <w:sz w:val="18"/>
      <w:szCs w:val="18"/>
    </w:rPr>
  </w:style>
  <w:style w:type="character" w:customStyle="1" w:styleId="19">
    <w:name w:val="页脚 字符"/>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contractReview xmlns="http://schemas.wps.cn/vas-ai-hub/contract-review">
  <reviewItems>
    <reviewItem>
      <errorID>3f026a3c-ac7b-49d6-a8fb-1c1bcf8b486a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16BCFE8D</paraID>
      <start>17</start>
      <end>18</end>
      <status>unmodified</status>
      <modifiedWord/>
      <trackRevisions>false</trackRevisions>
    </reviewItem>
    <reviewItem>
      <errorID>69a83b0a-e0ba-40ee-b006-2665adc84324</errorID>
      <errorWord>&lt;</errorWord>
      <group>L1_Format</group>
      <groupName>格式问题</groupName>
      <ability>L2_HalfPunc_CN</ability>
      <abilityName>全半角问题</abilityName>
      <candidateList>
        <item>〈</item>
      </candidateList>
      <explain>文本全半角错误。</explain>
      <paraID>27F31C0B</paraID>
      <start>17</start>
      <end>18</end>
      <status>unmodified</status>
      <modifiedWord/>
      <trackRevisions>false</trackRevisions>
    </reviewItem>
    <reviewItem>
      <errorID>47cf2e0c-ca4f-4afb-9fd0-851ebc7129f0</errorID>
      <errorWord>&gt;的通知》</errorWord>
      <group>L1_Punc</group>
      <groupName>标点问题</groupName>
      <ability>L2_Punc_CN</ability>
      <abilityName>标点符号问题</abilityName>
      <candidateList>
        <item>〉的通知》</item>
      </candidateList>
      <explain/>
      <paraID>27F31C0B</paraID>
      <start>44</start>
      <end>49</end>
      <status>unmodified</status>
      <modifiedWord/>
      <trackRevisions>false</trackRevisions>
    </reviewItem>
    <reviewItem>
      <errorID>9853d24d-35b1-4b15-8b90-40c1cf4b3d46</errorID>
      <errorWord>(</errorWord>
      <group>L1_Format</group>
      <groupName>格式问题</groupName>
      <ability>L2_HalfPunc_CN</ability>
      <abilityName>全半角问题</abilityName>
      <candidateList>
        <item>（</item>
      </candidateList>
      <explain>文本全半角错误。</explain>
      <paraID>729EFA12</paraID>
      <start>35</start>
      <end>36</end>
      <status>unmodified</status>
      <modifiedWord/>
      <trackRevisions>false</trackRevisions>
    </reviewItem>
    <reviewItem>
      <errorID>ee329332-977d-4a05-beab-d6395c59260a</errorID>
      <errorWord>)</errorWord>
      <group>L1_Format</group>
      <groupName>格式问题</groupName>
      <ability>L2_HalfPunc_CN</ability>
      <abilityName>全半角问题</abilityName>
      <candidateList>
        <item>）</item>
      </candidateList>
      <explain>文本全半角错误。</explain>
      <paraID>729EFA12</paraID>
      <start>51</start>
      <end>52</end>
      <status>unmodified</status>
      <modifiedWord/>
      <trackRevisions>false</trackRevisions>
    </reviewItem>
    <reviewItem>
      <errorID>ecf8673d-a171-45d5-abac-c1a589c37a99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2AAF8807</paraID>
      <start>19</start>
      <end>20</end>
      <status>unmodified</status>
      <modifiedWord/>
      <trackRevisions>false</trackRevisions>
    </reviewItem>
    <reviewItem>
      <errorID>8c49e15a-9c97-4ded-8a33-45b807ade0e0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2D96E67</paraID>
      <start>18</start>
      <end>19</end>
      <status>unmodified</status>
      <modifiedWord/>
      <trackRevisions>false</trackRevisions>
    </reviewItem>
    <reviewItem>
      <errorID>1bdfc267-9706-4e25-95e3-cdc86b4d6c8c</errorID>
      <errorWord>法律、法规</errorWord>
      <group>L1_Word</group>
      <groupName>字词问题</groupName>
      <ability>L2_Typo</ability>
      <abilityName>字词错误</abilityName>
      <candidateList>
        <item>法律法规</item>
      </candidateList>
      <explain/>
      <paraID>28A478FE</paraID>
      <start>13</start>
      <end>17</end>
      <status>modified</status>
      <modifiedWord>法律法规</modifiedWord>
      <trackRevisions>false</trackRevisions>
    </reviewItem>
    <reviewItem>
      <errorID>b208b30c-fbde-468c-8be7-d0b8ecd162b6</errorID>
      <errorWord>用地使用权限</errorWord>
      <group>L1_Word</group>
      <groupName>字词问题</groupName>
      <ability>L2_Typo</ability>
      <abilityName>字词错误</abilityName>
      <candidateList>
        <item>用地使用期限</item>
      </candidateList>
      <explain/>
      <paraID>3C7F06AE</paraID>
      <start>23</start>
      <end>29</end>
      <status>unmodified</status>
      <modifiedWord/>
      <trackRevisions>false</trackRevisions>
    </reviewItem>
    <reviewItem>
      <errorID>7eb31551-0051-4872-ae5d-33fe4645f59f</errorID>
      <errorWord>用地使用权限</errorWord>
      <group>L1_Word</group>
      <groupName>字词问题</groupName>
      <ability>L2_Typo</ability>
      <abilityName>字词错误</abilityName>
      <candidateList>
        <item>用地使用期限</item>
      </candidateList>
      <explain/>
      <paraID>67A71885</paraID>
      <start>78</start>
      <end>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76F2BF-0BE5-4BC7-9561-34B10A7DD634}">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1384</Words>
  <Characters>1454</Characters>
  <Lines>76</Lines>
  <Paragraphs>69</Paragraphs>
  <TotalTime>4</TotalTime>
  <ScaleCrop>false</ScaleCrop>
  <LinksUpToDate>false</LinksUpToDate>
  <CharactersWithSpaces>2769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2026-08-16T11:39:00Z</dcterms:created>
  <dc:creator>zoie</dc:creator>
  <cp:lastModifiedBy>Admin</cp:lastModifiedBy>
  <dcterms:modified xsi:type="dcterms:W3CDTF">2026-08-24T11:22:05Z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C4EA434151BB46A989C7155D6E730306_13</vt:lpwstr>
  </property>
  <property fmtid="{D5CDD505-2E9C-101B-9397-08002B2CF9AE}" pid="4" name="KSOTemplateDocerSaveRecord">
    <vt:lpwstr>eyJoZGlkIjoiYzA1MTQ0Y2I0NDkzNDQ5YWQ0Njc2ZjdjOGU3OTg0MWYiLCJ1c2VySWQiOiI0OTI3NTMyNzgifQ==</vt:lpwstr>
  </property>
</Properties>
</file>