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伽师县20</w:t>
      </w:r>
      <w:r>
        <w:rPr>
          <w:rFonts w:hint="eastAsia"/>
          <w:b/>
          <w:bCs/>
          <w:sz w:val="44"/>
          <w:szCs w:val="44"/>
          <w:lang w:val="en-US" w:eastAsia="zh-CN"/>
        </w:rPr>
        <w:t>20</w:t>
      </w:r>
      <w:r>
        <w:rPr>
          <w:rFonts w:hint="eastAsia"/>
          <w:b/>
          <w:bCs/>
          <w:sz w:val="44"/>
          <w:szCs w:val="44"/>
        </w:rPr>
        <w:t>年</w:t>
      </w:r>
      <w:r>
        <w:rPr>
          <w:rFonts w:hint="eastAsia"/>
          <w:b/>
          <w:bCs/>
          <w:sz w:val="44"/>
          <w:szCs w:val="44"/>
          <w:lang w:eastAsia="zh-CN"/>
        </w:rPr>
        <w:t>国有资本经营</w:t>
      </w:r>
      <w:r>
        <w:rPr>
          <w:rFonts w:hint="eastAsia"/>
          <w:b/>
          <w:bCs/>
          <w:sz w:val="44"/>
          <w:szCs w:val="44"/>
        </w:rPr>
        <w:t>决算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情况说明</w:t>
      </w:r>
    </w:p>
    <w:p>
      <w:p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按照《中华人民共和国预算法》、《自治区人民政府关于试行国有资本经营预算的意见》（新政发【2008】90号）等规定要求，现将伽师县2020年国有资本经营决算情况说明如下：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伽师县国有资本经营决算收入情况</w:t>
      </w: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伽师县国有资本经营收入完成0万元，比2019年的   3558万元减少3558万元，下降100%。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伽师县国有资本经营决算支出情况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  伽师县国有资本经营支出完成1万元，比2019年的0万元增支1万元，上涨100%。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伽师县国有资本经营决算结余情况</w:t>
      </w: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伽师县2020年国有资本经营预算上级补助收入1万元，2020年国有资本经营预算支出1万元，收支相抵后，结余为0万元。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D6E9A9"/>
    <w:multiLevelType w:val="singleLevel"/>
    <w:tmpl w:val="D9D6E9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C0254"/>
    <w:rsid w:val="33EF5B46"/>
    <w:rsid w:val="37E8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2021-09-14T10:09:10Z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